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4.1.2.8. pasākuma "Nevalstisko organizāciju iesaiste veselības veicināšanas un slimību profilakses pasākumu īstenošanā"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kas pēc sadarbības iestādes lēmuma par projekta iesnieguma apstiprināšanu kļūst par finansējuma saņēmēju, pasākuma ietvaros ir biedrība vai nodibinājums, kas saskaņā ar to statūtiem īsteno veselības veicināšanas un/vai slimību profilakses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ka finansējuma saņēmējs var būt vienīgi biedrība, kuras statūtos noteikts, ka tā īsteno veselības veicināšanas un/vai slimību profilakses pasākumus, ir ierobežojošs attiecībā uz citu darbības jomu biedrībām, kas būtu atbilstošas pēc profila un savas darbības, bet nav veikušas aktualizāciju par savu darbības jomu, atbilstoši 2024.gada 25.jūnija Ministru kabineta noteikumiem Nr. 398 "Biedrību un nodibinājumu klasificēšanas noteikumi". Tādēļ aicinām papildināt noteikumu projekta 13.punktu ar šādām biedrību darbības jomām: izglītība, sociālā aizsardzība un sociālā labklājība, darbs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Mauliņa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Pasākuma atbalstāmās darbības un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praksē un, lai ievērotu ANO Konvencijā par personu ar invaliditāti tiesībām noteikto vienlīdzīgu iespēju un nediskrimināciijas principu, aicinām paredzēt attiecināmās izmaksas HP specifisko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ka informatīvo pasākumu vai materiālu saturs atbilst piekļūstamības prasībām, proti, lai informācijas saturs būtu piekļūstams, izmantojot vairāk nekā vienu sensoro kanālu, kā arī lai tā būtu labi uztverama personām ar garīga rakstura traucējumiem, lasītprasmes vai uztveres grūtībām, būs nepieciešami zīmju valodas tulku, Braila valodas tulku, vieglās valodas tulkošanas, reāllaika transkripcijas un subtitru nodrošināšanas  pakalpojumi. Lai nodrošinātu vienlīdzīgas iespējas piedalīties veselības veicināšanas pasākumos visiem iedzīvotājiem, ir jāparedz arī atbilstošus risinājumus pasākumu norises infrastruktūras piekļūstamības nodrošināšanai personām ar invaliditāti, personām ar maziem bērniem un senioriem. Gadījumos, ja pasākumiem nav iespējas izmantot piekļūstamas telpas, ir jāparedz izmaksas pandusu, pacēlāju nomai. Savukārt, lai pasākumos vienlīdzīgi var piedalīties personas ar dzirdes traucējumiem, iespējams, būs nepieciešama indukcijas cilpu noma.  Lai integrētu dzimumu līdztiesības un nediskriminācijas principus pētījumu un informatīvo materiālu saturā, būs nepieciešams piesaistīt  ekspertus ar atbilstošām zināšanām un pieredzi, kas izvērtēs informatīvo materiālu saturu atbilstību un integrēs dzimumu līdztiesības principu pētījumu saturā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izmaksas horizontālā principa “Vienlīdzība, iekļaušana, nediskriminācija un pamattiesību ievērošana” darbību īstenošanai, tai skaitā ekspertu konsultāciju, pandusu un pacēlāju nomas, indukcijas cilpu nomas, zīmju valodas tulka, Braila raksta drukas, reāllaika transkripcijas, subtitru nodrošināšanas pakalpojumu izmaksas,  kā arī  publicitātes un komunikācijas materiālu sagatavošana un izplatīšana piekļūstamos formātos, nodrošinot to uztveramību ar vairāk kā vienu sensoro kanālu.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minētās atbalstāmās darbības ietvaros ir attiecināmas komunikācijas un vizuālās identitātes prasību nodrošināšanas izmaksas, lai izpildītu minētās prasības atbilstoši regulas Nr.  2021/1060 47. un 50. pantam un normatīvajiem aktiem, kas nosaka kārtību, kādā Eiropas Savienības fondu vadībā iesaistītās institūcijas nodrošina šo fondu ieviešanu 2021. – 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 konvencijā par personu ar invaliditāti tiesībām noteikts, ka "komunikācija" ietver valodu, tekstu, Braila raksta, taustes komunikācijas, liela izmēra rakstu zīmju un piekļūstamu multivides līdzekļu izmantošanu, kā arī pastiprinošus un alternatīvus komunikācijas veidus, līdzekļus un formātus, kam izmanto rakstiskus palīglīdzekļus, audio palīglīdzekļus, vieglo valodu, priekšā lasītāju, tostarp piekļūstamās informācijas un komunikācijas tehnoloģijas.Savukārt  regulas Nr. 2021/1060 9.pants nosaka, ka visā programmu sagatavošanas un īstenošanas laikā jo īpaši ņem vērā piekļūstamības nodrošināšanu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19.3. apakšpunktā noteiktās izmaksas ar izmaksām komunikācijas un vizuālās identitātes pasākumu piekļūstamības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19.3. apakšpunktā minētās atbalstāmās darbības ietvaros ir attiecināmas komunikācijas un vizuālās identitātes prasību </w:t>
            </w:r>
            <w:r w:rsidR="00000000" w:rsidRPr="00000000" w:rsidDel="00000000">
              <w:rPr>
                <w:b w:val="1"/>
                <w:rtl w:val="0"/>
              </w:rPr>
              <w:t xml:space="preserve">un piekļūstamības</w:t>
            </w:r>
            <w:r w:rsidR="00000000" w:rsidRPr="00000000" w:rsidDel="00000000">
              <w:rPr>
                <w:rtl w:val="0"/>
              </w:rPr>
              <w:t xml:space="preserve"> nodrošināšanas izmaksas, lai izpildītu minētās prasības atbilstoši regulas Nr.  2021/1060 47. un 50. pantam un normatīvajiem aktiem, kas nosaka kārtību, kādā Eiropas Savienības fondu vadībā iesaistītās institūcijas nodrošina šo fondu ieviešanu 2021. – 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pasākuma 4.1.2.8. ietekmi uz personu ar invaliditāti vienlīdzīgu iespēju un tiesību nodrošināšanu, norādot konkrētas vispārīgas un specifiskas darbības horizontālā principa "Vienlīdzība, iekļaušana, nediskriminācija un pamattiesību ievērošana", kas tiek plānotas projektu atlasē.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personu ar invaliditāti vienlīdzīgas iespējas un tiesību ievērošanu, projektu ietvaros  tiks plānotas vispārīgas un specifiskas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piekļūstamības prasībām (WCAG 2.1 AA)” https://pieklustamiba.varam.gov.lv/);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saņēmēja tīmekļa vietnē, ja tāda ir, tiks norādīta informācija par projekta darbību īstenošanas vietas piekļūstamību cilvēkiem ar invaliditāti un funkcionāliem traucējumiem, vecākiem ar maziem bērniem un senioriem;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tīmekļvietnē, ja tāda ir, izveidota sadaļa "Viegli lasīt", kurā iekļauta īsa aprakstoša informācija par projektu un citu lasītājiem nepieciešamu informāciju vieglajā valodā, lai plašākai sabiedrībai nodrošinātu iespēju uzzināt par ES fondu ieguldījumiem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semināru, konferenču un komunikācijas pasākumu īstenošanā sabiedrības informēšanai tiks nodrošināti cilvēkiem ar dažāda veida funkcionāliem traucējumiem piekļūstami formāti (piem., tulkošana zīmju valodā, subtitrēšana, Braila druka,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konkrētajai videi/objektam/pasākuma norises vietai ir iespēja fiziski piekļūt un to izmantot cilvēkiem ar dažādiem funkcionāliem traucējumiem gan kā pasākuma skatītājiem, gan kā dalībniekiem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veselības veicināšanas un slimību profilakses pasākumi mērķa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LM komentāru pie 13.punkta, ierosinām 19.2. apakšpunktu papildināt ar vārdu “rehabilitācijas” aiz vārdiem “veselības veicināšanas”.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veselības veicināšanas, rehabilitācijas un slimību profilakses pasākumi mērķa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Inuta Iļemenova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Intervences (pasākumi) ģimenēm (vecāku, aizbildņu, audžuģimeņu, bērnu aprūpes iestāžu darbinieku) prasmju attīstīšanai  un agrīna preventīva atbalsta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Lūdzam izvērtēt, vai nepastāv dubultfinansēšanas risks ar 4.3.6.5. pasākumu "Atbalsta pasākumi bērniem ar uzvedības vai atkarību problēmām un to ģimenēm" izglītojošiem pasākumiem. 4.3.6.5. pasākuma "Atbalsta pasākumi bērniem ar uzvedības vai atkarību problēmām un to ģimenēm" mērķis ir laikus identificēt bērnu uzvedības vai atkarību problēmu veidošanās risku un nodrošināt savlaicīgu un vajadzībām atbilstošu pakalpojumu un atbalsta sniegšanu uzvedības traucējumu un atkarību problēmu risināšanai. Minētā pasākuma mērķa grupa ir bērni ar uzvedības un atkarību problēmām vai to attīstības risku un to ģimenes.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Lūdzam precizēt terminu “gados jaunām grūtniecēm” – pie kuras mērķa grupas tiek identificētas un kāds vecumposms ar to domāts. Ja ar šo terminu domātas arī nepilngadīgas grūtnieces, ir iespējams dubultfinansēšanas risks ar 4.3.6.5. pasākumā paredzēto mentoru, ja grūtniecei ir arī uzvedības un atkarību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pasākumā mentora mērķis ir sniegt emocionālu un praktisku atbalstu bērniem ar uzvedības vai atkarību problēmām vai to attīstības risku uzvedības problēmu vai atkarību ietekmes mazināšanai, jaunu uzvedības modeļu apguvei un dzīves kvalitātes uzlabošana, kas var būt saistīts ar to, lai nepilngadīgā grūtniece var aprūpēt zīdaini. 4.3.6.5. pasākumā mentors nebūs specifiski apmācīts, lai nodrošinātu informācijas sniegšanu par veiksmīgas grūtniecības un dzemdību priekšnosacījumiem, attīstītu vecākiem jaundzimušā/zīdaiņa/bērna aprūpes prasmes, sniegtu rekomendācijas dzīves vietas piemērotības un tās pielāgošanai zīdainim drošu apstākļu radīšanā, sniegtu atbalstu piemērotas dzīves vietas meklēšanā, kā arī sniegtu atbalstu jaunās māmiņas/vecāku izglītības/nodarbinātības iespēju apzināšanā, prasmju un kompetenču pilnveidošanā.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Inuta Iļemenova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iekļaut norādi, vai 4.1.2.8. pasākuma un 4.3.6.5. pasākuma ietvaros nepastāv dubultfinansējuma risks, vai nepieciešams noteikt abu pasākumu sinerģiju.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Inuta Iļemenova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8.1.16. sadaļu, ņemot vērā, ka 4.1.2.8. pasākuma mērķa grupas ir bērni un jaunieši.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Inuta Iļemenova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24-TA-2667</w:t>
    </w:r>
    <w:r>
      <w:br/>
    </w:r>
    <w:r w:rsidR="00000000" w:rsidRPr="00000000" w:rsidDel="00000000">
      <w:rPr>
        <w:rtl w:val="0"/>
      </w:rPr>
      <w:t xml:space="preserve">Izdrukāts 07.11.2024.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24-TA-2667</w:t>
    </w:r>
    <w:r>
      <w:br/>
    </w:r>
    <w:r w:rsidR="00000000" w:rsidRPr="00000000" w:rsidDel="00000000">
      <w:rPr>
        <w:rtl w:val="0"/>
      </w:rPr>
      <w:t xml:space="preserve">Izdrukāts 07.11.2024.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Atzinumi_24-TA-2667.docx</dc:title>
</cp:coreProperties>
</file>

<file path=docProps/custom.xml><?xml version="1.0" encoding="utf-8"?>
<Properties xmlns="http://schemas.openxmlformats.org/officeDocument/2006/custom-properties" xmlns:vt="http://schemas.openxmlformats.org/officeDocument/2006/docPropsVTypes"/>
</file>