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Zvērinātu revidentu un zvērinātu revidentu komercsabiedrību darba organizācijas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attiecībā uz Eiropas Parlamenta un Padomes 2022. gada 14. decembra direktīvas (ES) 2022/2464, ar ko attiecībā uz korporatīvo ilgtspējas ziņu sniegšanu groza Regulu (ES) Nr. 537/2014, Direktīvu 2004/109/EK, Direktīvu 2006/43/EK un Direktīvu 2013/34/ES, prasību pārņemšanu, lūdzam detalizētāk aizpildīt tabulu, norādot, kur pārņemtas vai tiks pārņemtas citas minētās direktīvas prasības, vai arī ietvert skaidrojumu (piemēram, sadaļā "Cita informācija") par citu direktīvas prasību pārņemšanu. Norādām, ka attiecīgajā iebilduma daļā anotācijas 5.4. sadaļas 1. tabula nav precizēta, kā arī nav sniegts attiecīgs skaidrojums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vieglākas uztveramības labad Eiropas Savienības direktīvas, kuru prasības noteikumu projektā tiek pārņemtas, izdalīt anotācijas 5.1. sadaļā atsevišķi, tādējādi arī izveidojot par katru direktīvu atsevišķu anotācijas 5.4. apakšsadaļas 1. tabulas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projektā ietvertajām atsaucēm uz Eiropas Parlamenta un Padomes 2014. gada 16. aprīļa Regulas (ES) Nr. 537/2014 par īpašām prasībām attiecībā uz obligātajām revīzijām sabiedriskas nozīmes struktūrās un ar ko atceļ Komisijas Lēmumu 2005/909/EK pārkāpumiem (turpmāk - regula Nr. 537/2014) vienībām, atkārtoti aicinām izvērtēt iespēju papildināt anotācijas 5.1. apakšsadaļu un 5.4. apakšsadaļas 1. tabulu, norādot informāciju par attiecīgo regulas vienību ieviešanu atbilstošajās noteikumu projekta vienībās. Anotācijas 5.3. sadaļā un izziņā sniegts šāds skaidrojums: “</w:t>
            </w:r>
            <w:r w:rsidR="00000000" w:rsidRPr="00000000" w:rsidDel="00000000">
              <w:rPr>
                <w:i w:val="1"/>
                <w:rtl w:val="0"/>
              </w:rPr>
              <w:t xml:space="preserve">Noteikumu projektā ir ietvertas atsauces uz Eiropas Parlamenta un Padomes 2014. gada 16. aprīļa Regulas (ES) Nr. 537/2014 par īpašām prasībām attiecībā uz obligātajām revīzijām sabiedriskas nozīmes struktūrās un ar ko atceļ Komisijas Lēmumu 2005/909/EK prasībām. Tomēr Noteikumu projektā netiek iekļautas normas, kas noteiktu, kā piemērot kādu no prasībām vai norādītu uz minētajā regulā paredzētajām izvēles iespējām, kādas Latvija ir izvēlējusies. Ņemot vērā minēto, kā arī to, ka regulas ir tieši piemērojami tiesību akti, nav informācija, kas būtu norādāma Noteikumu projekta anotācijā attiecībā uz Regulas (ES) Nr. 537/2014 vienību ieviešanu Noteikumu projektā.</w:t>
            </w:r>
            <w:r w:rsidR="00000000" w:rsidRPr="00000000" w:rsidDel="00000000">
              <w:rPr>
                <w:rtl w:val="0"/>
              </w:rPr>
              <w:t xml:space="preserve">” Kā pareizi skaidrots anotācijā un izziņā, regulas ir tieši piemērojamas. Reizē norādām, ka tai pašā laikā ir jānodrošina regulu tieša piemērošana katrā dalībvalstī un var būt nepieciešami kādi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Citastarp arī atsauču uz regulu un tās vienībām ietveršana normatīvajos aktos pēc būtības var būt regulas prasību ieviešana, ja tādējādi tiek nodrošināta regulas prasību praktiskā piemērošana. Attiecīgi, ņemot vērā minēto, atkārtoti aicinām izvērtēt un aizpildīt anotācijas 5.4. sadaļas 1. tabulu arī attiecībā uz minētās regulas normu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pakārtots likumprojektam "Grozījumi Revīzijas pakalpojumu likumā" (22-TA-3278) (turpmāk - likumprojekts), kurš atzinuma sniegšanas laikā pieņemts Saeimā 1. lasījumā, atkārtoti atgādinām, ka projektu pieļaujams virzīt apstiprināšanai Ministru kabinetā pēc tam, kad likumprojekts tiks Saeimā pieņemts galīgajā lasījumā un Valsts prezidents to būs izsludinājis, kā arī nepieciešams nodrošināt, ka noteikumu projekts nestājas ātrāk par likumprojektā ietvertajām normām, kurām pakārtots ir noteikumu projektā ietvertais regulējums. Tāpat arī, ņemot vērā, ka likumprojekts ir pieņemts tikai 1. lasījumā, aicinām sekot līdzi iespējamām izmaiņām likumprojektā tā virzības gaitā Saeimā, attiecīgi arī, ja nepieciešams,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aicinām precizēt anotāciju (piemēram, atsauci uz “Revīzijas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10.09.2024.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10.09.2024.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Atzinumi_24-TA-617.docx</dc:title>
</cp:coreProperties>
</file>

<file path=docProps/custom.xml><?xml version="1.0" encoding="utf-8"?>
<Properties xmlns="http://schemas.openxmlformats.org/officeDocument/2006/custom-properties" xmlns:vt="http://schemas.openxmlformats.org/officeDocument/2006/docPropsVTypes"/>
</file>