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23-TA-1925: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atļauju uzņemties papildu saistības un īstenot pārrobežu patogēnu uzraudzības projektu 2024. – 2026. gadā, piesaistot finansējumu no ārvalstu finanšu instrumenta – tiešās dotācijas CP-g-22-04.01.”</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23-TA-1925_Inform_zin_EU4P_parrob_patog_uzraudz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3.4.sadaļas pēdējās rindkopas pēdējo teikumu, jo šobrīd tajā kļūdaini norādīts, ka paredzētais avansa maksājums ir 906 288 </w:t>
            </w:r>
            <w:r w:rsidR="00000000" w:rsidRPr="00000000" w:rsidDel="00000000">
              <w:rPr>
                <w:i w:val="1"/>
                <w:rtl w:val="0"/>
              </w:rPr>
              <w:t xml:space="preserve">euro</w:t>
            </w:r>
            <w:r w:rsidR="00000000" w:rsidRPr="00000000" w:rsidDel="00000000">
              <w:rPr>
                <w:rtl w:val="0"/>
              </w:rPr>
              <w:t xml:space="preserve">, lai gan minētais apmērs ir viss ārvalstu finanšu instrumenta finansējums. Vēršam uzmanību, ka minētajā teikumā jānorāda, kāda daļa no ārvalstu finanšu instrumenta tiks izmantota projekta īstenošanas laikā un kāda daļa tiks atskaitīta valsts budžetā, lai atgrieztu valsts budžeta priekšfinansējumu.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23-TA-1925_Inform_zin_EU4P_parrob_patog_uzraudz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informatīvā ziņojuma projekta 2.tabulu “Nepieciešamais finansējums (euro) pa izmaksu pozīcijām iesaistītajām institūcijām un sadalījumā pa gadiem”, izdalot tajā atsevišķi valsts budžeta līdzfinansējuma apmēru un valsts budžeta priekšfinansējuma apmēru. Vienlaikus lūdzam precizēt ziņojuma 3.4.sadaļas pēdējās rindkopas otro teikumu un izteikt to šādā redakcijā (norādot precizēto valsts budžeta priekšfinansējuma apmēru): “Ar šo maksājumu tiktu nosegta daļa no 2024. gada EU4P projekta ieviešanai nepieciešamajiem izdevumiem, bet turpmāk projekta īstenošanai ir nepieciešams valsts budžeta līdzfinansējums 226 573 </w:t>
            </w:r>
            <w:r w:rsidR="00000000" w:rsidRPr="00000000" w:rsidDel="00000000">
              <w:rPr>
                <w:i w:val="1"/>
                <w:rtl w:val="0"/>
              </w:rPr>
              <w:t xml:space="preserve">euro </w:t>
            </w:r>
            <w:r w:rsidR="00000000" w:rsidRPr="00000000" w:rsidDel="00000000">
              <w:rPr>
                <w:rtl w:val="0"/>
              </w:rPr>
              <w:t xml:space="preserve">apmērā, kā arī finanšu plūsmas nepārtrauktības nodrošināšanai ir vajadzīgs valsts budžeta priekšfinansējums … </w:t>
            </w:r>
            <w:r w:rsidR="00000000" w:rsidRPr="00000000" w:rsidDel="00000000">
              <w:rPr>
                <w:i w:val="1"/>
                <w:rtl w:val="0"/>
              </w:rPr>
              <w:t xml:space="preserve">euro </w:t>
            </w:r>
            <w:r w:rsidR="00000000" w:rsidRPr="00000000" w:rsidDel="00000000">
              <w:rPr>
                <w:rtl w:val="0"/>
              </w:rPr>
              <w:t xml:space="preserve">apmērā, nepieciešamo valsts budžeta līdzfinansējumu un valsts budžeta priekšfinansējumu ZM pieprasīs no valsts budžeta programmas 80.00.00 “Nesadalītais finansējums ES politiku instrumentu un pārējās ārvalstu finanšu palīdzības projektu un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23-TA-1925_Inform_zin_EU4P_parrob_patog_uzraudz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attiecībā uz ārvalstu finanšu instrumenta naudas plūsmu ir zināms avansa maksājuma apmērs, attiecīgi nav saprotama sniegtā norāde, ka nav zināma turpmākā naudas plūsma attiecībā uz starpposma un noslēguma maksājumiem. Lūdzam attiecīgo informāciju noskaidrot un attiecīgi arī informatīvajā ziņojumā pārskatīt un precizēt nepieciešamā valsts budžeta priekšfinansējuma apmēru atkarībā no tā, kāda ir ārvalstu finanšu instrumenta naudas plūsma projekta īstenošanas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23-TA-1925</w:t>
    </w:r>
    <w:r>
      <w:br/>
    </w:r>
    <w:r w:rsidR="00000000" w:rsidRPr="00000000" w:rsidDel="00000000">
      <w:rPr>
        <w:rtl w:val="0"/>
      </w:rPr>
      <w:t xml:space="preserve">Izdrukāts 05.09.2023.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23-TA-1925</w:t>
    </w:r>
    <w:r>
      <w:br/>
    </w:r>
    <w:r w:rsidR="00000000" w:rsidRPr="00000000" w:rsidDel="00000000">
      <w:rPr>
        <w:rtl w:val="0"/>
      </w:rPr>
      <w:t xml:space="preserve">Izdrukāts 05.09.2023.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Atzinumi_23-TA-1925.docx</dc:title>
</cp:coreProperties>
</file>

<file path=docProps/custom.xml><?xml version="1.0" encoding="utf-8"?>
<Properties xmlns="http://schemas.openxmlformats.org/officeDocument/2006/custom-properties" xmlns:vt="http://schemas.openxmlformats.org/officeDocument/2006/docPropsVTypes"/>
</file>