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2004. gada 7. septembra noteikumos Nr. 767 "Noteikumi par transportlīdzekļa piespiedu pārvietošanu un transportlīdzekļa atzīšanu par ilgstoši atstātu uz ceļa" (Latvijas Vēstnesis, 2004,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uztur iepriekš izteikto iebildumu un atkārtoti norāda, ka nav tiesiska pamata uzskatīt, ka atbilstoši Ceļu satiksmes likuma 43.3 panta pirmās daļas 7. punktam saskaņā ar šā likuma 43.3 panta ceturto daļu Ministru kabinets ir pilnvarots noteikt, ka velosipēds un elektroskrejritenis var tik atzīts par ilgstoši atstātu uz ceļa, ja tas traucē pārvietoties citiem ceļu satiksmes dalībniekiem (traucē ceļu satiksmei). Ievērojot iepriekš minēto, nepieciešams pārskatīt arī grozījumu noteikumu projektā iekļautā 20.</w:t>
            </w:r>
            <w:r w:rsidR="00000000" w:rsidRPr="00000000" w:rsidDel="00000000">
              <w:rPr>
                <w:vertAlign w:val="superscript"/>
                <w:rtl w:val="0"/>
              </w:rPr>
              <w:t xml:space="preserve">1</w:t>
            </w:r>
            <w:r w:rsidR="00000000" w:rsidRPr="00000000" w:rsidDel="00000000">
              <w:rPr>
                <w:rtl w:val="0"/>
              </w:rPr>
              <w:t xml:space="preserve">3.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2004. gada 7. septembra noteikumos Nr. 767 "Noteikumi par transportlīdzekļa piespiedu pārvietošanu un transportlīdzekļa atzīšanu par ilgstoši atstātu uz ceļa" (Latvijas Vēstnesis, 2004,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pārskatīt grozījumu noteikumu projekta 20.</w:t>
            </w:r>
            <w:r w:rsidR="00000000" w:rsidRPr="00000000" w:rsidDel="00000000">
              <w:rPr>
                <w:vertAlign w:val="superscript"/>
                <w:rtl w:val="0"/>
              </w:rPr>
              <w:t xml:space="preserve">1</w:t>
            </w:r>
            <w:r w:rsidR="00000000" w:rsidRPr="00000000" w:rsidDel="00000000">
              <w:rPr>
                <w:rtl w:val="0"/>
              </w:rPr>
              <w:t xml:space="preserve">1. un 20.</w:t>
            </w:r>
            <w:r w:rsidR="00000000" w:rsidRPr="00000000" w:rsidDel="00000000">
              <w:rPr>
                <w:vertAlign w:val="superscript"/>
                <w:rtl w:val="0"/>
              </w:rPr>
              <w:t xml:space="preserve">1 </w:t>
            </w:r>
            <w:r w:rsidR="00000000" w:rsidRPr="00000000" w:rsidDel="00000000">
              <w:rPr>
                <w:rtl w:val="0"/>
              </w:rPr>
              <w:t xml:space="preserve">2. punktu redakcijas saistībā ar tajos ietverto norādi </w:t>
            </w:r>
            <w:r w:rsidR="00000000" w:rsidRPr="00000000" w:rsidDel="00000000">
              <w:rPr>
                <w:i w:val="1"/>
                <w:rtl w:val="0"/>
              </w:rPr>
              <w:t xml:space="preserve">“vietā”</w:t>
            </w:r>
            <w:r w:rsidR="00000000" w:rsidRPr="00000000" w:rsidDel="00000000">
              <w:rPr>
                <w:rtl w:val="0"/>
              </w:rPr>
              <w:t xml:space="preserve">, kas prasa papildu skaidrojumu. Kā piemēram, aizvietojot to ar grozāmo noteikumu 20.2. un 20.3. punktos ietverto norādi </w:t>
            </w:r>
            <w:r w:rsidR="00000000" w:rsidRPr="00000000" w:rsidDel="00000000">
              <w:rPr>
                <w:i w:val="1"/>
                <w:rtl w:val="0"/>
              </w:rPr>
              <w:t xml:space="preserve">“novietots stāvēšanai”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12.07.2024.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12.07.2024.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