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2.1.1.4. pasākumam sastāda 101 696 160 </w:t>
            </w:r>
            <w:r w:rsidR="00000000" w:rsidRPr="00000000" w:rsidDel="00000000">
              <w:rPr>
                <w:i w:val="1"/>
                <w:rtl w:val="0"/>
              </w:rPr>
              <w:t xml:space="preserve">euro</w:t>
            </w:r>
            <w:r w:rsidR="00000000" w:rsidRPr="00000000" w:rsidDel="00000000">
              <w:rPr>
                <w:rtl w:val="0"/>
              </w:rPr>
              <w:t xml:space="preserve"> (no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 un privātais līdzfinansējums vismaz 2 903 493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9.1.apakšpunktā norādītais 2.1.1.4. pasākuma finansējuma sadalījums pa avotiem neveido kopējo pasākumam pieejamo finansējumu 101 696 160 euro apmērā. Turklāt atzīmējam, ka atbilstoši pielikumā sniegtajai informācijai divi finansējuma saņēmēji nodrošinās līdzfinansējumu no saviem līdzekļiem, attiecīgi aicinām precizēt norādīto finansējuma sadalījumu atbilstoši samazinot valsts budžeta līdzfinansējuma apmēru, nepieciešamības gadījumā precizējot arī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precīzu un izsekojamu informāciju par atlasei pieejamo finansējumu, lūdzam papildināt noteikumu projektu ar jaunu punktu, kas skaidri nosaka abiem pasākumiem pieejamo finansējumu (bez elastības finansējuma) pirms Eiropas Komisijas lēmuma par elastības finansējuma novirzīšanu. Vienlaikus lūdzam precizēt noteikumu projekta 9.punktu, nosakot, ka tā apakšpunktos norādītais finansējums ir plānotais finansējums nevis pieejamais.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pielikumā skaidri definēt vārdu "nacionālais līdzfinansējums" nozīmi un salāgot vienotu terminoloģiju ar noteikumu projekta 9.punktā noteikto finansējuma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iesniegumu iesniedz par ēku, vai kopēju ēku grupu, uz kuru projekta iesniedzējam ir nostiprinātas īpašuma tiesības zemesgrāmatā vai kura ir nodota projekta iesniedzēja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izsekojamībai anotācijā skaidrot noteikumu projekta 16.punktā vārdu “vai kura ir nodota projekta iesniedzēja pārvaldīšanā” lietojumu, respektīvi, ka minētais attiecas uz projekta iesniedzējiem, kas ir Zemkopības ministrijas padotības iestādes, kas nozīmē, ka īpašuma tiesības zemesgrāmatā uz šīm ēkām ir nostiprinātas uz Zemkopības ministrijas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noteikumu projektā un anotācijā lietoto terminoloģiju attiecībā uz vārdiem "pārvaldīšanā", "valdījumā", tādejādi salāgojot terminoloģiju ar noteikumu projektu, t.sk., noteikumu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ēku inženiertehnisko, tai skaitā apkures, ūdensapgādes, ventilācijas un dzesēšanas sistēmu, atjaunošana, gadījumā, ja to esošais stāvoklis neatbilst normatīvo aktu prasībām,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21.3. un 21.4. apakšpunkta atbilstību 22.4.apakšpunktam, kas nosaka, ka būvdarbu izmaksām ir jābūt paredzētām ēkas energosertifikātā energoefektivitātes paaugstināšanas pasākumu īstenošanai. Vēršam uzmanību, ka šobrīd 21.3.apakšpunkta nosacījums: “..neatkarīgi no tā, vai tas minēts energosertifikācijas dokumentācijā” ir pretrunā ar 22.4.apakšpunktu.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2.1.1.4. pasākumu atlases ietvaros tiek atbalstīti ekonomiski pamatoti projekti, kurus īstenojot tiek uzlabota ēku energoefektivitāte, sasniedzot katras projekta iesniegumā iekļautās ēkas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29.punktā norādīto informāciju ar šo noteikumu 2.punktā paredzēto un anotācijā norādīto, proti, ka 2.1.1.4. pasākuma otrās kārtas atlases ietvaros tiks piemērots mērķis sasniegt gandrīz nulles enerģijas ēkas vai  bezemisijas ēkas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pārskatīt/salāgot noteikumu projekta 30.punktu ar 3.punktu, attiecībā uz prasību par nulles enerģijas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uzkrāj datus par projektā plānotajiem un sasniegtajiem 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 </w:t>
            </w:r>
            <w:r w:rsidR="00000000" w:rsidRPr="00000000" w:rsidDel="00000000">
              <w:rPr>
                <w:rtl w:val="0"/>
              </w:rPr>
              <w:t xml:space="preserve">apakšpunkt</w:t>
            </w:r>
            <w:r w:rsidR="00000000" w:rsidRPr="00000000" w:rsidDel="00000000">
              <w:rPr>
                <w:rtl w:val="0"/>
              </w:rPr>
              <w:t xml:space="preserve">os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49.punkts nav jāpapildina ar prasību finansējuma saņēmējam uzkrāt datus par horizontālā principa "Klimatdrošināšana", ņemot vērā anotācijā ietverto informāciju par to, ka pasākumiem ir tieša ietekme uz šo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pasākumu ietekmi uz "principu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gaitā radušās sadārdzinājuma izmaksas tiek segtas no finansējuma saņēmēja līdzekļiem, nodrošinot piemērojamo komercdarbības atbalsta regulējuma normu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netiek sniegts komercdarbības atbalsts, lūdzam svītrot teikuma daļu: “nodrošinot piemērojamo komercdarbības atbalsta regulējuma normu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ēkā vai ēkas daļā, par kuru iesniegts projekta iesniegums, tiek veikti valsts deleģētie pārvaldes uzdevumi vai valsts augstskolu pamatdarbība, atbalsts šo pasākumu ietvaros netiek kvalificēts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anotācijā skaidrot jēdzienu "valsts augstskolu pamatdarbība". Vēršam uzmanību uz to, ka, vērtējot projekta iesniedzēja ieņēmumus un izdevumus, lai noteiktu, vai atbalsts šo pasākumu ietvaros nav kvalificējams kā komercdarbības atbalsts, jāņem vērā projekta iesniedzēja finanšu dati attiecībā uz tā pamatdarbību, kas saistīta ar iestādes izglītības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anotācija satur noteikumu projekta 56.punktā iekļauto informāciju, ka ir atbalstāms arī projekts par ēku vai ēkas daļu, kurā tiek veikta valsts augstskolu pamatdarbība, lūdzam anotācijas sadaļā par komercdarbības atbalstu aiz vārdiem “tiek veiktas valsts deleģētās funkcijas “papildināt ar vārdiem “vai valsts augstskolu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2.1.1.7. pasākuma ietvaros, sadarbības iestāde pārliecinās vai projekta iesniedzēja paša ieņēmumi nepārsniedz 50 procentus no kopējiem izdevumiem gada ietvaros un ka tiek veikta tāda saimnieciskā darbība, kas atbilst šo noteikumu projekta </w:t>
            </w:r>
            <w:r w:rsidR="00000000" w:rsidRPr="00000000" w:rsidDel="00000000">
              <w:rPr>
                <w:rtl w:val="0"/>
              </w:rPr>
              <w:t xml:space="preserve">61. </w:t>
            </w:r>
            <w:r w:rsidR="00000000" w:rsidRPr="00000000" w:rsidDel="00000000">
              <w:rPr>
                <w:rtl w:val="0"/>
              </w:rPr>
              <w:t xml:space="preserve">punktu</w:t>
            </w:r>
            <w:r w:rsidR="00000000" w:rsidRPr="00000000" w:rsidDel="00000000">
              <w:rPr>
                <w:rtl w:val="0"/>
              </w:rPr>
              <w:t xml:space="preserve"> punktā noteiktajai papildinošās saimnieciskās darbības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saprotams 50% nosacījuma pārbaudes brīdis, lūdzam papildināt 59.punktu, norādot, ka pārbaudi par to, vai projekta iesniedzēja paša ieņēmumi nepārsniedz 50% no kopējiem izdevumiem gada ietvaros, veic uz projekta apstiprināšanas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atbilstoši noteikumu projekta 59.punktā noteiktajam, ka pirms projekta iesnieguma apstiprināšanas 2.1.1.7. pasākuma ietvaros sadarbības iestāde izvērtē, vai konkrētā  projekta iesniedzēja (Latvijas universitātes) ieņēmumi nepārsniedz 50 procentus no izdevumiem gada ietvaros, vērtējot finanšu datus par iestādes izglītības pakalpojumu sniegšanu, lai secinātu, ka atbalsts netiek sniegts saimnieciskai darbībai, kas varētu kvalificēties kā komercdarbības atbalsts. Lūdzam anotāciju papildināt ar informāciju, ka, gadījumā, ja ieņēmumi no izglītības pakalpojuma sniegšanas pārsniedz 50% no izdevumiem gada ietvaros, projekta iesniegums ir noraidāms.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projektā ietvertajam regulējumam precizēt anotācijā sniegto skaidrojumu par to, kas finansējuma saņēmējam jāsedz no savā rīcībā esošajiem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priekšlikumu par nepieciešamību papildināt anotāciju, norādot ekspluatācijā neesošu ēku (t.i. ēkas, kurām līdz 2015. gada 9. jūlijam nav izsniegts ēkas energosertifikāts) attiecināmību pasākuma ietvaros, kā arī norādot to energosertifikācijas kārtību. Atkārtoti vēršam uzmanību, ka atbilstoši Ēkas energoefektivitātes likuma 1. pantam, ēkas energosertifikācijas procesā nosaka ekspluatējamas ēkas vai tās daļas energoefektivitāti vai projektējamas, pārbūvējamas vai atjaunojamas ēkas vai tās daļas plānoto energoefektivitāti, izsniedzot ēkas pagaidu energosertifikātu  atbilstoši MK noteikumiem Nr. 222 "Ēku energoefektivitātes aprēķina metodes un ēku energosertifikācijas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2024.gadu, attiecīgi ietekmi uz valsts budžetu atspoguļojot korektajās ailēs, kā arī 5.1.apakšpunktā norādot precizēto finansiālo ietekmi. Vienlaikus lūdzam precizēt informāciju punktā “Cita informācija” un svītrot Latvijas Banku, ņemot vērā, ka finansējumu no 80.00.00 programmas „Nesadalītais finansējums Eiropas Savienības politiku instrumentu un pārējās ārvalstu finanšu palīdzības līdzfinansēto projektu un pasākumu īstenošanai" var lūgt pārdalīt tikai ministrijas un citas centrālās valsts iestādes. Turklāt lūdzam precizēt pirmajā rindkopā norādīto gadu, ņemot vērā protokola 2.punktā noteikto, ka finansējumu līdz vienošanās par projekta īstenošanu noslēgšanai nodrošina 2025.gadā, nevis 2024.gadā.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