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Liegums attiecas uz fiziskajām personām, kuras iekļautas Latvijas Republikas un citu Eiropas Savienības dalībvalstu, kurām ar Latvijas Republiku ir noslēgts starptautiskais līgums par apvienotu pašatteikušos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kur šīs fiziskās personas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w:t>
            </w:r>
            <w:r w:rsidR="00000000" w:rsidRPr="00000000" w:rsidDel="00000000">
              <w:rPr>
                <w:vertAlign w:val="superscript"/>
                <w:rtl w:val="0"/>
              </w:rPr>
              <w:t xml:space="preserve">2</w:t>
            </w:r>
            <w:r w:rsidR="00000000" w:rsidRPr="00000000" w:rsidDel="00000000">
              <w:rPr>
                <w:rtl w:val="0"/>
              </w:rPr>
              <w:t xml:space="preserve">) Izložu un azartspēļu uzraudzības inspekcija veic fizisko personu datu apstrādi, lai nodrošinātu attiecībā uz fiziskajām personām, kuras iekļautas Latvijas Republikas un citu Eiropas Savienības dalībvalstu, kurām ar Latvijas Republiku ir noslēgts starptautiskais līgums par apvienotā pašatteikušos personu reģistra, pašas personas sev noteiktā lieguma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kur šīs fiziskās personas ir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kārtību, kādā Izložu un azartspēļu uzraudzības inspekcija saņem un nodod informāciju Latvijas Republikas un citu Eiropas Savienības dalībvalstu, kurām ar Latvijas Republiku ir noslēgts starptautiskais līgums  par apvienotā pašatteikušos personu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no kā IAUI saņem un kam nodod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"Maksimālais naudas soda apmērs fiziskajām personām par šādiem pārkāpumiem paredzēts tādēļ, ka šādu pārkāpumu bīstamība ir ļoti liela, būtiski aizskarot spēlētāju tiesības un sabiedrības intereses." vārdu "fiziskajām" aizstāt ar vārdu "juridiskajām". Iepriekš tekstā šajā kontekstā tika minētas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naudas soda apmērs juridiskajām personām par šādiem pārkāpumiem paredzēts tādēļ, ka šādu pārkāpumu bīstamība ir ļoti liela, būtiski aizskarot spēlētāju tiesības un sabiedrības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"Ņemot vērā iepriekš sniegto FKTK pausto viedokli, nodrošinot iespēju interaktīvo azartspēļu organizētājiem  savstarpējos norēķinos ar klientiem izmantot Eiropas Savienībā vai Eiropas Ekonomikas zonā licencētā kredītiestādē, maksājumu iestādē vai elektroniskās naudas iestādē atvērtu maksājumu kontu, pastāv būtiski riski NILLTPF jomā." precizēt jomu, aizstājot "NILLTPF" ar "NILLTPF novēršanas".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sniegto FKTK pausto viedokli, nodrošinot iespēju interaktīvo azartspēļu organizētājiem  savstarpējos norēķinos ar klientiem izmantot Eiropas Savienībā vai Eiropas Ekonomikas zonā licencētā kredītiestādē, maksājumu iestādē vai elektroniskās naudas iestādē atvērtu maksājumu kontu, pastāv būtiski riski NILLTPF novēršanas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07.08.2023. 11.14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