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2026.gadam ailē “izmaiņas kārtējā gadā, salīdzinot ar valsts budžetu kārtējam gadam” un 2027.-2029.gadiem ailēs “izmaiņas, salīdzinot ar vidēja termiņa budžeta ietvaru” 2.1.apakšpunktos norādīto informāciju pārcelt uz ailēm “saskaņā ar valsts budžetu kārtējam gadam” un “saskaņā ar vidēja termiņa budžeta ietvaru”, kā arī šajās ailēs aizpildīt 1.1.apakšpunktus, norādot plānoto valsts budžeta finansējuma apmēru 176 094 euro apmērā, ņemot vērā 6.punktā norādīto, ka minētais finansējums tiks nodrošināts Valsts vides dienesta esošo budžeta ietvaros, tādējādi neradot negatīvu finansiālo ietekmi uz valsts budžeta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4.2.sadaļā norādīts, ka likumprojekts tiek izstrādāts kopā ar likumprojektu "Grozījumi likumā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aktu lietā pie "Saistītie TA" ir ietverta informācija par "21-TA-1420 - Gaisa kvalitātes nodrošināšanas likums (Klimata un enerģētikas ministrija)" un "21-TA-1169 - Piesārņojošo darbību likums (Klimata un enerģētikas ministrija)", lūdzam anotācijas 4.2.sadaļā papildus norādīt likumprojektam "Grozījumi likumā "Par piesārņojumu" TAP portālā  piešķirto unikālo identifikācijas numuru, lai varētu izvērtēt, kurās likuma "Par piesārņojumu" 44.</w:t>
            </w:r>
            <w:r w:rsidR="00000000" w:rsidRPr="00000000" w:rsidDel="00000000">
              <w:rPr>
                <w:vertAlign w:val="superscript"/>
                <w:rtl w:val="0"/>
              </w:rPr>
              <w:t xml:space="preserve">1</w:t>
            </w:r>
            <w:r w:rsidR="00000000" w:rsidRPr="00000000" w:rsidDel="00000000">
              <w:rPr>
                <w:rtl w:val="0"/>
              </w:rPr>
              <w:t xml:space="preserve"> panta daļās ir paredzētas izmaiņas saistībā ar likumprojektā iekļautajiem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Ministru kabineta 2013.gada 30.aprīļa noteikumi Nr. 243 “Kārtība, kādā veic speciālistu sertifikāciju un komersantu licencēšanu darbam ar militāra rakstura sprādzienbīstamiem priekšmetiem un militāri piesārņotu teritoriju izpēti un sanāciju” ir izdoti saskaņā ar likuma "Par piesārņojumu" </w:t>
            </w:r>
            <w:r w:rsidR="00000000" w:rsidRPr="00000000" w:rsidDel="00000000">
              <w:rPr>
                <w:u w:val="single"/>
                <w:rtl w:val="0"/>
              </w:rPr>
              <w:t xml:space="preserve">44.</w:t>
            </w:r>
            <w:r w:rsidR="00000000" w:rsidRPr="00000000" w:rsidDel="00000000">
              <w:rPr>
                <w:u w:val="single"/>
                <w:vertAlign w:val="superscript"/>
                <w:rtl w:val="0"/>
              </w:rPr>
              <w:t xml:space="preserve">1</w:t>
            </w:r>
            <w:r w:rsidR="00000000" w:rsidRPr="00000000" w:rsidDel="00000000">
              <w:rPr>
                <w:u w:val="single"/>
                <w:rtl w:val="0"/>
              </w:rPr>
              <w:t xml:space="preserve"> panta</w:t>
            </w:r>
            <w:r w:rsidR="00000000" w:rsidRPr="00000000" w:rsidDel="00000000">
              <w:rPr>
                <w:rtl w:val="0"/>
              </w:rPr>
              <w:t xml:space="preserve"> 3.</w:t>
            </w:r>
            <w:r w:rsidR="00000000" w:rsidRPr="00000000" w:rsidDel="00000000">
              <w:rPr>
                <w:vertAlign w:val="superscript"/>
                <w:rtl w:val="0"/>
              </w:rPr>
              <w:t xml:space="preserve">5</w:t>
            </w:r>
            <w:r w:rsidR="00000000" w:rsidRPr="00000000" w:rsidDel="00000000">
              <w:rPr>
                <w:rtl w:val="0"/>
              </w:rPr>
              <w:t xml:space="preserve">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4.2.sadaļā norādīts, ka "</w:t>
            </w:r>
            <w:r w:rsidR="00000000" w:rsidRPr="00000000" w:rsidDel="00000000">
              <w:rPr>
                <w:i w:val="1"/>
                <w:rtl w:val="0"/>
              </w:rPr>
              <w:t xml:space="preserve">(…)  līdz šim ietvertās tiesību normas piesārņoto un potenciāli piesārņoto vietu pārvaldībai turpmāk paredzēts ietvert Vides aizsardzības likumā, attiecīgi veicot izmaiņas likuma "Par piesārņojumu"  1., 2., 3., 12., 33., 34., 35., 36., 37., 38., 39., 40., 41., 42., 43., 44., </w:t>
            </w:r>
            <w:r w:rsidR="00000000" w:rsidRPr="00000000" w:rsidDel="00000000">
              <w:rPr>
                <w:i w:val="1"/>
                <w:u w:val="single"/>
                <w:rtl w:val="0"/>
              </w:rPr>
              <w:t xml:space="preserve">44.</w:t>
            </w:r>
            <w:r w:rsidR="00000000" w:rsidRPr="00000000" w:rsidDel="00000000">
              <w:rPr>
                <w:i w:val="1"/>
                <w:u w:val="single"/>
                <w:vertAlign w:val="superscript"/>
                <w:rtl w:val="0"/>
              </w:rPr>
              <w:t xml:space="preserve">1</w:t>
            </w:r>
            <w:r w:rsidR="00000000" w:rsidRPr="00000000" w:rsidDel="00000000">
              <w:rPr>
                <w:i w:val="1"/>
                <w:rtl w:val="0"/>
              </w:rPr>
              <w:t xml:space="preserve">, 48. un 49. pantā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Oficiālo publikāciju un tiesiskās informācijas likuma 9.panta piekto daļā ir noteikts, ja spēku zaudē normatīvā akta izdošanas tiesiskais pamats (augstāka juridiska spēka tiesību norma, uz kuras pamata izdots cits normatīvais akts), tad spēku zaudē arī uz šā pamata izdotais normatīvais akts vai 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papildināt anotāciju ar informāciju, kādus tieši grozījumus likuma "Par piesārņojumu" 44.</w:t>
            </w:r>
            <w:r w:rsidR="00000000" w:rsidRPr="00000000" w:rsidDel="00000000">
              <w:rPr>
                <w:vertAlign w:val="superscript"/>
                <w:rtl w:val="0"/>
              </w:rPr>
              <w:t xml:space="preserve">1</w:t>
            </w:r>
            <w:r w:rsidR="00000000" w:rsidRPr="00000000" w:rsidDel="00000000">
              <w:rPr>
                <w:rtl w:val="0"/>
              </w:rPr>
              <w:t xml:space="preserve"> pantā plānots veikt, lai būtu skaidri saprotams, vai būs veicami atbilstoši grozījumi Ministru kabineta 2013.gada 30.aprīļa noteikumos Nr. 243 "Kārtība, kādā veic speciālistu sertifikāciju un komersantu licencēšanu darbam ar militāra rakstura sprādzienbīstamiem priekšmetiem un militāri piesārņotu teritoriju izpēti un sanāciju" vai tomēr šie noteikumi jāpārizdod no jauna, jo būs spēku zaudējusi augstāka juridiska spēka tiesību norma, uz kuras pamata minētie Ministru kabineta noteikumi izdoti.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25.05.2026.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25.05.2026.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