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anotācijas 1.3.sadaļā "Pašreizējā situācija, problēmas un risinājumi" (turpmāk – anotācijas 1.3.sadaļa) norādīto informāciju par objektu Uriekstes ielā 42B kontekstā ar rādītāju sasniegšanas termiņu, ņemot vērā norādīto, ka objekts ir projektēšanas stadijā un tā pabeigšana plānota no valsts budžeta līdzekļiem tikai 2026.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līdzšinējo sadarbības praksi, aicinām Ekonomikas ministriju (turpmāk – EM) sagatavot ierosinātos grozījumus noteikumu projektā nosūtīšanai  Eiropas Komisijai (turpmāk – 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attiecībā uz mērķa rādītāja “Primārās enerģijas patēriņa samazinājums valsts ēkās 3 875 MWh/ gadā” statusu un izpildes prognozi, risku novērtējumu tieši pret EK ziņojamā mērķa rādītāja sasniegšanu, maksājuma pieprasījuma sekmīgai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aicinām neatsaukties uz neformālā sanāksmē  ar EK sniegtu informāciju un attiecīgi precizēt sekojošo rindkopu, skaidri pasakot, ka izpildes pamatojošās dokumentācijas (Cover note) projekta izstrādi un ar EK neformālu skaņošanu EM uzsāks pirms mērķa rādītāja sasniegšanas, ne vēlāk kā līdz 2026.gada 30.jūnijam. Kad būs sasniegts attiecīgais mērķa rādītājs, tad EM visus pamatojošos dokumentus iesniegs Kohēzijas politikas fondu vadības informācijas sistēmā (turpmāk – KPVIS) vēlākais līdz 2026. gada 15. augustam. Attiecīgi lūdzam papildināt arī noteikumu projektu ar jaunu punktu, kas paredz, ka EM nodrošina mērķa sasniegšanas pamatojošo dokumentu iesniegšanu KPVIS līdz 2026. gada 15.augustam.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līdz 2026. gada 31. jūlijam un dokumentus, kas apliecina projekta īstenošanas pabeigšanu un uzņemto saistību izpildi, iesniedz aģentūrā ne vēlāk kā 2026. gada 31. jūlijā ar nosacījumu, ja ir veikti grozījumi līgumā vai vienošanās ar aģentūru ar objektīvu pamatojumu projekta īstenošanas termiņa pagarinājumam.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ņemot vērā, ka no Ministru kabineta 2023. gada 8. augusta noteikumu Nr. 443 "Eiropas Savienības Atveseļošanas un noturības mehānisma plāna 1.2. reformu un investīciju virziena "Energoefektivitātes uzlabošana" 1.2.1.4.i. investīcijas "Energoefektivitātes uzlabošana valsts sektora ēkās, t. sk. vēsturiskajās ēkās" īstenošanas noteikumi" 40. punkta plānotās redakcijas nav skaidri secināms, ka sākotnējais projektu īstenošanas termiņš bija plānots 2026. gada 30. jūnijs, lūdzam papildināt 40. punkta plānoto redakciju aiz vārda "pagarinājumam" ar vārdiem un skaitļiem "no 2026. gada 30. jūnija uz 2026. gada 31.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papildināt noteikumu projektu ar normām, kas paredz projektu īstenošanu un izrietošo pienākumu veikšanu līdz </w:t>
            </w:r>
            <w:r w:rsidR="00000000" w:rsidRPr="00000000" w:rsidDel="00000000">
              <w:rPr>
                <w:u w:val="single"/>
                <w:rtl w:val="0"/>
              </w:rPr>
              <w:t xml:space="preserve">2026. gada 30. jūnijam</w:t>
            </w:r>
            <w:r w:rsidR="00000000" w:rsidRPr="00000000" w:rsidDel="00000000">
              <w:rPr>
                <w:rtl w:val="0"/>
              </w:rPr>
              <w:t xml:space="preserve"> (t.i. gadījumā, ja neizpildās 40. punktā minētais nosacījums, un projekta īstenošanas termiņš netiek pagarināts līdz 2026. gada 31.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līdz 2026. gada 31. jūlijam un dokumentus, kas apliecina projekta īstenošanas pabeigšanu un uzņemto saistību izpildi, iesniedz aģentūrā ne vēlāk kā 2026. gada 31. jūlijā ar nosacījumu, ja ir veikti grozījumi līgumā vai vienošanās ar aģentūru ar objektīvu pamatojumu projekta īstenošanas termiņa pagarinājumam </w:t>
            </w:r>
            <w:r w:rsidR="00000000" w:rsidRPr="00000000" w:rsidDel="00000000">
              <w:rPr>
                <w:u w:val="single"/>
                <w:rtl w:val="0"/>
              </w:rPr>
              <w:t xml:space="preserve">no 2026. gada 30. jūnija uz 2026. gada 31. jūliju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Šo noteikumu 4. nodaļā noteiktie izmaksu procentuālie ierobežojumi tiek aprēķināti attiecībā pret projektā plānotajām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40.</w:t>
            </w:r>
            <w:r w:rsidR="00000000" w:rsidRPr="00000000" w:rsidDel="00000000">
              <w:rPr>
                <w:vertAlign w:val="superscript"/>
                <w:rtl w:val="0"/>
              </w:rPr>
              <w:t xml:space="preserve">2</w:t>
            </w:r>
            <w:r w:rsidR="00000000" w:rsidRPr="00000000" w:rsidDel="00000000">
              <w:rPr>
                <w:rtl w:val="0"/>
              </w:rPr>
              <w:t xml:space="preserve"> punktu, paredzot, ka tajā noteiktais procentuālā ierobežojuma aprēķins attiecībā pret projekta plānotajām tiešajām attiecināmajām izmaksām nav attiecināms uz 30.4.</w:t>
            </w:r>
            <w:r w:rsidR="00000000" w:rsidRPr="00000000" w:rsidDel="00000000">
              <w:rPr>
                <w:vertAlign w:val="superscript"/>
                <w:rtl w:val="0"/>
              </w:rPr>
              <w:t xml:space="preserve">1</w:t>
            </w:r>
            <w:r w:rsidR="00000000" w:rsidRPr="00000000" w:rsidDel="00000000">
              <w:rPr>
                <w:rtl w:val="0"/>
              </w:rPr>
              <w:t xml:space="preserve"> un 30.4.</w:t>
            </w:r>
            <w:r w:rsidR="00000000" w:rsidRPr="00000000" w:rsidDel="00000000">
              <w:rPr>
                <w:vertAlign w:val="superscript"/>
                <w:rtl w:val="0"/>
              </w:rPr>
              <w:t xml:space="preserve">3</w:t>
            </w:r>
            <w:r w:rsidR="00000000" w:rsidRPr="00000000" w:rsidDel="00000000">
              <w:rPr>
                <w:rtl w:val="0"/>
              </w:rPr>
              <w:t xml:space="preserve"> apakšpunktā noteikto netiešo izmaksu vienotās likmes procentuālo aprēķinu. Informējam, ka, veicot padziļinātu attiecināmo izmaksu izvērtējumu, secināts – vienotās likmes izmaksu procentuālais apmērs ir aprēķināms no faktiskajām attiecināmajām izmaksām, nevis no plānotajām izmaksām, atbilstoši Vadlīnijas par vienkāršoto izmaksu izmantošanas iespējām un to piemērošana Eiropas Savienības kohēzijas politikas programmas 2021.–2027.gadam ietvaros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 nodaļā noteiktie izmaksu procentuālie ierobežojumi tiek aprēķināti attiecībā pret projektā plānotajām tiešajām attiecināmajām izmaksām, izņemot 30.4.</w:t>
            </w:r>
            <w:r w:rsidR="00000000" w:rsidRPr="00000000" w:rsidDel="00000000">
              <w:rPr>
                <w:vertAlign w:val="superscript"/>
                <w:rtl w:val="0"/>
              </w:rPr>
              <w:t xml:space="preserve">1</w:t>
            </w:r>
            <w:r w:rsidR="00000000" w:rsidRPr="00000000" w:rsidDel="00000000">
              <w:rPr>
                <w:rtl w:val="0"/>
              </w:rPr>
              <w:t xml:space="preserve"> un 30.4.</w:t>
            </w:r>
            <w:r w:rsidR="00000000" w:rsidRPr="00000000" w:rsidDel="00000000">
              <w:rPr>
                <w:vertAlign w:val="superscript"/>
                <w:rtl w:val="0"/>
              </w:rPr>
              <w:t xml:space="preserve">3</w:t>
            </w:r>
            <w:r w:rsidR="00000000" w:rsidRPr="00000000" w:rsidDel="00000000">
              <w:rPr>
                <w:rtl w:val="0"/>
              </w:rPr>
              <w:t xml:space="preserve"> apakšpunktā noteiktajam procentuālajam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Tropa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tehnisku precizējumu MK noteikumu pielikuma 8.punktā, aktualizējot Latvijas Nacionālās bibliotēkas projekta īstenošanas adresi no "Raksti", Silakrogs, Ropažu novads uz Silezera iela 1, Silakrogs, Ropažu pag., Ropažu nov.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adrešu reģistrā adrese "Raksti", Silakrogs, Ropažu novads vairs nav atrodama, kā arī KPVISā Latvijas Nacionālās bibliotēkas projektā Nr.1.2.1.4.i.0/1/23/I/CFLA/004 adrese automātiski ir aktualiuzēta uz Silezera iela 1, Silakrogs, Ropažu pag., Ropažu nov., LV-2133.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w:t>
    </w:r>
    <w:r>
      <w:br/>
    </w:r>
    <w:r w:rsidR="00000000" w:rsidRPr="00000000" w:rsidDel="00000000">
      <w:rPr>
        <w:rtl w:val="0"/>
      </w:rPr>
      <w:t xml:space="preserve">Izdrukāts 27.02.2026.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w:t>
    </w:r>
    <w:r>
      <w:br/>
    </w:r>
    <w:r w:rsidR="00000000" w:rsidRPr="00000000" w:rsidDel="00000000">
      <w:rPr>
        <w:rtl w:val="0"/>
      </w:rPr>
      <w:t xml:space="preserve">Izdrukāts 27.02.2026.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Atzinumi_26-TA-20.docx</dc:title>
</cp:coreProperties>
</file>

<file path=docProps/custom.xml><?xml version="1.0" encoding="utf-8"?>
<Properties xmlns="http://schemas.openxmlformats.org/officeDocument/2006/custom-properties" xmlns:vt="http://schemas.openxmlformats.org/officeDocument/2006/docPropsVTypes"/>
</file>