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projekts ir Eiropas Aizsardzības fonda vai Ziemeļatlantijas līguma organizācijas ietvaros prasībām atbilstošs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Lielākai skaidrībai aicinām precizēt punkta redakciju, papildinot to ar "īstenotas atbalsta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projekts ir Eiropas Aizsardzības fonda vai Ziemeļatlantijas līguma organizācijas ietvaros īstenotas atbalsta programmas procesā esošs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Indriksons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finansējuma saņēmēja projektu izraudzījusies dalībvalsts atklātā uzaicinājumā un finansējuma saņēmējs projektu īstenojis efektīvā sadarbībā ar vismaz triju dažādu Eiropas Savienības dalībvalstu pārstāvjiem;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ka EDF projektu gadījumā konkursa procedūru organizē EK, kā arī EK ar īstenošanas lēmumprojektu apstiprina EDF projektus, kam tiek piešķirtas tiesības saņemt EK līdzfinansējumu.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finansējuma saņēmēja projektu izraudzījusies dalībvalsts vai Eiropas Komisija atklātā uzaicinājumā un finansējuma saņēmējs projektu īstenojis efektīvā sadarbībā ar vismaz triju dažādu Eiropas Savienības dalībvalstu pārstāvjiem;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Indriksons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Kopējā projektam piemērotā finansējuma intensitāte nevar pārsniegt 80 procentus rūpnieciskajiem pētījumiem un eksperimentālajai izstrādei saskaņā ar Komisijas regulas Nr. 651/2014 25. panta 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punktu EDF projektu gadījumā piemērot ar interpretāciju, ka LV valsts nacionālā atbalsta intensitātes iespējamie maksimālie griesti  Komisijas regulas Nr. 651/2014 25. panta 6. punkta izpratnē tiek attiecināti uz EDF projektam nepieciešamā nacionālā līdzfinansējuma daļu. Jo ir jāņem vērā to, ka EDF attīstības projektus vidēji 70-80% līmenī līdzfinansē EK. Bet EDF pētniecības projektus EK finansē 100%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Indriksons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09.07.2024.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09.07.2024.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Atzinumi_23-TA-2014.docx</dc:title>
</cp:coreProperties>
</file>

<file path=docProps/custom.xml><?xml version="1.0" encoding="utf-8"?>
<Properties xmlns="http://schemas.openxmlformats.org/officeDocument/2006/custom-properties" xmlns:vt="http://schemas.openxmlformats.org/officeDocument/2006/docPropsVTypes"/>
</file>