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sadales sistēmas operators ir uzsācis pieslēguma ierīkošanu, tajā skaitā pieslēguma projektēšanas darbus, un pieslēguma ierīkošana netiek veikta aizsargātā lietotāja rīcības dēļ, Būvniecības valsts kontroles birojs (turpmāk - birojs)sadales sistēmas operatoram kompensē visas ar pieslēguma ierīkošanu radušās izmaksas, ieskaitot pievienotās vērtības nodokli.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11.punkts paredz, ka, ja pieslēguma ierīkošana netiek veikta aizsargātā lietotāja rīcības dēļ, Būvniecības valsts kontroles birojs sadales sistēmas operatoram </w:t>
            </w:r>
            <w:r w:rsidR="00000000" w:rsidRPr="00000000" w:rsidDel="00000000">
              <w:rPr>
                <w:u w:val="single"/>
                <w:rtl w:val="0"/>
              </w:rPr>
              <w:t xml:space="preserve">kompensē visas ar pieslēguma ierīkošanu radušās izmaksas</w:t>
            </w:r>
            <w:r w:rsidR="00000000" w:rsidRPr="00000000" w:rsidDel="00000000">
              <w:rPr>
                <w:rtl w:val="0"/>
              </w:rPr>
              <w:t xml:space="preserve">, ieskaitot pievienotās vērtības nodokli. Ņemot vērā, ka atbilstoši noteikumu projekta 14.punktam pieslēguma ierīkošanas izmaksas, ieskaitot pievienotās vērtības nodokli, </w:t>
            </w:r>
            <w:r w:rsidR="00000000" w:rsidRPr="00000000" w:rsidDel="00000000">
              <w:rPr>
                <w:u w:val="single"/>
                <w:rtl w:val="0"/>
              </w:rPr>
              <w:t xml:space="preserve">finansē no valsts budžeta līdzekļiem 50 % apmērā</w:t>
            </w:r>
            <w:r w:rsidR="00000000" w:rsidRPr="00000000" w:rsidDel="00000000">
              <w:rPr>
                <w:rtl w:val="0"/>
              </w:rPr>
              <w:t xml:space="preserve">, attiecīgi uzskatām, ka arī šajā gadījumā sadales sistēmas operatoram no valsts budžeta būtu kompensējamas izmaksas 50% apmērā. Attiecīgi lūdzam precizēt noteikumu projekta 11.punkta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iekļaut skaidrojumu attiecībā uz noteikumu projekta 30.punktā paredzēto nepamatoti saņemtā valsts atbalsta atmaksu, proti, vai Būvniecības valsts kontroles birojs atgūs tikai no valsts budžeta līdzekļiem finansēto valsts atbalsta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14.05.2024. 13.57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14.05.2024. 13.57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