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apakšsadaļas “Risinājuma apraksts” punktā "3. precizēt attiecināmās izmaksas" aizstāt norādi uz noteikumu projekta 43.13.apakšpunktu ar norādi uz 43.14.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Noteikumi Nr.116 tiek papildināti ar </w:t>
            </w:r>
            <w:r w:rsidR="00000000" w:rsidRPr="00000000" w:rsidDel="00000000">
              <w:rPr>
                <w:b w:val="1"/>
                <w:rtl w:val="0"/>
              </w:rPr>
              <w:t xml:space="preserve">43.14</w:t>
            </w:r>
            <w:r w:rsidR="00000000" w:rsidRPr="00000000" w:rsidDel="00000000">
              <w:rPr>
                <w:rtl w:val="0"/>
              </w:rPr>
              <w:t xml:space="preserve">. apakšpunktu, nosakot, ka attiecināmas ir instrumentu, iekārtu un to aprīkojuma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 ka </w:t>
            </w:r>
            <w:r w:rsidR="00000000" w:rsidRPr="00000000" w:rsidDel="00000000">
              <w:rPr>
                <w:i w:val="1"/>
                <w:rtl w:val="0"/>
              </w:rPr>
              <w:t xml:space="preserve">atbalsta saņēmējiem, kuri noslēguši līgumu par projekta īstenošanu, nepieciešamības gadījumā, būs iespēja pārskatīt projekta attiecināmo izmaksu pozīcijas un iekļaut licenču iegādes un instrumentu, iekārtu un to aprīkojuma iegādes izmaksas</w:t>
            </w:r>
            <w:r w:rsidR="00000000" w:rsidRPr="00000000" w:rsidDel="00000000">
              <w:rPr>
                <w:rtl w:val="0"/>
              </w:rPr>
              <w:t xml:space="preserve">. Vēršam uzmanību, ka ar noteikumu projektu tiek plānoti arī citi Ministru kabineta 2024. gada 20. februāra noteikumu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(turpmāk - noteikumi Nr. 116) grozījumi, piemēram, grozot noteikumu Nr. 116 7. punktā noteiktos nacionālos rādītājus. Lūdzam izvērtēt un atbilstoši precizēt anotācijā minēto par nepieciešamajiem grozījumiem līgumos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Vērtēšanas komisija projektu iesniegumu atlases termiņā saņemtos projektu iesniegumus vērtē atbilstoši šo noteikumu </w:t>
            </w:r>
            <w:r w:rsidR="00000000" w:rsidRPr="00000000" w:rsidDel="00000000">
              <w:rPr>
                <w:rtl w:val="0"/>
              </w:rPr>
              <w:t xml:space="preserve">1. pielikumā</w:t>
            </w:r>
            <w:r w:rsidR="00000000" w:rsidRPr="00000000" w:rsidDel="00000000">
              <w:rPr>
                <w:rtl w:val="0"/>
              </w:rPr>
              <w:t xml:space="preserve"> </w:t>
            </w:r>
            <w:r w:rsidR="00000000" w:rsidRPr="00000000" w:rsidDel="00000000">
              <w:rPr>
                <w:rtl w:val="0"/>
              </w:rPr>
              <w:t xml:space="preserve">minētajiem projektu iesniegumu vērtēšanas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grozījumu precizētā redakcija vairs neparedz atbalstu ar saimniecisko darbību nesaistītiem projektiem, lūgums MK noteikumu 1. pielikumā "Projektu iesniegumu vērtēšanas kritēriji"dzēst kritēriju Nr. 2.11. "Projekta iesniegums atbilst MK noteikumos noteiktajām prasībām ar saimniecisku darbību nesaistītam projektam (attiecināms uz ar saimniecisko darbību nesaistītiem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Eiropai svarīgo kopīgo interešu projekta saskaņošanas vai projektu partneru atlases laikā nepieciešams mainīt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atbalsta vēstules noteikto partneri, investīciju aģentūra atkārtoti sniedz atbalsta vēstuli jaunajam partnerim, vienlaikus nemainot sākotnēji apstiprinātā pētniecības projekta ideju. Atbalsta vēstules maiņu var pieteikt sākotnējais atbalsta vēstules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sniegto skaidrojumu uz Finanšu ministrijas iepriekš izteikto priekšlikumu par noteikumu Nr. 116 plānoto 30.</w:t>
            </w:r>
            <w:r w:rsidR="00000000" w:rsidRPr="00000000" w:rsidDel="00000000">
              <w:rPr>
                <w:vertAlign w:val="superscript"/>
                <w:rtl w:val="0"/>
              </w:rPr>
              <w:t xml:space="preserve">1</w:t>
            </w:r>
            <w:r w:rsidR="00000000" w:rsidRPr="00000000" w:rsidDel="00000000">
              <w:rPr>
                <w:rtl w:val="0"/>
              </w:rPr>
              <w:t xml:space="preserve"> un 30.</w:t>
            </w:r>
            <w:r w:rsidR="00000000" w:rsidRPr="00000000" w:rsidDel="00000000">
              <w:rPr>
                <w:vertAlign w:val="superscript"/>
                <w:rtl w:val="0"/>
              </w:rPr>
              <w:t xml:space="preserve">2</w:t>
            </w:r>
            <w:r w:rsidR="00000000" w:rsidRPr="00000000" w:rsidDel="00000000">
              <w:rPr>
                <w:rtl w:val="0"/>
              </w:rPr>
              <w:t xml:space="preserve"> punktu, vēršam uzmanību, ka Ministru kabineta noteikumos par investīciju īstenošanu, tostarp ņemot vērā Likuma par budžetu un finanšu vadību 19.</w:t>
            </w:r>
            <w:r w:rsidR="00000000" w:rsidRPr="00000000" w:rsidDel="00000000">
              <w:rPr>
                <w:vertAlign w:val="superscript"/>
                <w:rtl w:val="0"/>
              </w:rPr>
              <w:t xml:space="preserve">3</w:t>
            </w:r>
            <w:r w:rsidR="00000000" w:rsidRPr="00000000" w:rsidDel="00000000">
              <w:rPr>
                <w:rtl w:val="0"/>
              </w:rPr>
              <w:t xml:space="preserve"> pantā ietverto deleģējumu, netiek regulēts ārvalstu partnera (sākotnējās atbalsta vēstules saņēmēja un atkārtotās atbalsta vēstules saņēmēja) izvēles process, tostarp ņemot vērā, ka tas notiek ārpus Atveseļošanas un noturības mehānisma īstenošanas normatīvā regulējuma un procesa. Ievērojot minēto, lūdzam atkārtoti izvērtēt iespēju svītrot noteikumu Nr. 116 plānoto 30.</w:t>
            </w:r>
            <w:r w:rsidR="00000000" w:rsidRPr="00000000" w:rsidDel="00000000">
              <w:rPr>
                <w:vertAlign w:val="superscript"/>
                <w:rtl w:val="0"/>
              </w:rPr>
              <w:t xml:space="preserve">1</w:t>
            </w:r>
            <w:r w:rsidR="00000000" w:rsidRPr="00000000" w:rsidDel="00000000">
              <w:rPr>
                <w:rtl w:val="0"/>
              </w:rPr>
              <w:t xml:space="preserve"> un 30.</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noteikumu Nr. 116 plānotajā 30.</w:t>
            </w:r>
            <w:r w:rsidR="00000000" w:rsidRPr="00000000" w:rsidDel="00000000">
              <w:rPr>
                <w:vertAlign w:val="superscript"/>
                <w:rtl w:val="0"/>
              </w:rPr>
              <w:t xml:space="preserve">2</w:t>
            </w:r>
            <w:r w:rsidR="00000000" w:rsidRPr="00000000" w:rsidDel="00000000">
              <w:rPr>
                <w:rtl w:val="0"/>
              </w:rPr>
              <w:t xml:space="preserve">3. apakšpunktā lietotais jēdziens "sadarbības līgums" rada interpretācijas problēmas, ņemot vērā, ka ar sadarbības līgumu, tostarp izrietoši no citām noteikumu Nr. 116 plānotajām normām, saprotams sadarbības līgums, kas tiek slēgts starp projekta iesniedzēju un viņa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saprotama anotācijas 1.3. sadaļas apakšsadaļā "Risinājuma apraksts" ietvertā norāde, ka </w:t>
            </w:r>
            <w:r w:rsidR="00000000" w:rsidRPr="00000000" w:rsidDel="00000000">
              <w:rPr>
                <w:i w:val="1"/>
                <w:rtl w:val="0"/>
              </w:rPr>
              <w:t xml:space="preserve">gadījumā, ja sākotnējās investīciju aģentūras atbalsta vēstules saņēmējs plāno iesaistīties projekta īstenošanā kā sadarbības partneris, atkārtotās investīciju aģentūras atbalsta vēstules saņēmējs slēdz sadarbības līgumu ar sākotnējās investīciju aģentūras atbalsta vēstules saņēmēju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nav saprotams, vai tiek paredzēta arī atkārtotās investīciju aģentūras atbalsta vēstules saņēmēja iesaiste tāda investīciju projekta īstenošanā, kurā kā projekta iesniedzēja sadarbības partneris ir piesaistīts sākotnējās investīciju aģentūras atbalsta vēstules saņēmējs. Vēršam uzmanību, ka sadarbības partneris nav tiesīgs ar projekta īstenošanu saistītās tiesības un pienākumus nodot citai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31.3.6. uz to (vērtējot saistības grupas līmeni) neattiecas līdzekļu atgūšanas rīkojums, kas minēts Komisijas regulas Nr. </w:t>
            </w:r>
            <w:r w:rsidR="00000000" w:rsidRPr="00000000" w:rsidDel="00000000">
              <w:rPr>
                <w:rtl w:val="0"/>
              </w:rPr>
              <w:t xml:space="preserve">651/2014</w:t>
            </w:r>
            <w:r w:rsidR="00000000" w:rsidRPr="00000000" w:rsidDel="00000000">
              <w:rPr>
                <w:rtl w:val="0"/>
              </w:rPr>
              <w:t xml:space="preserve"> 1. panta 4. punkta "a"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31.3.6. apakšpunktā vārdu "neattiecas" un "attiecas", jo kopsakarā ar 31.3. apakšpunktu veidojas dubultais noliegums. Vienlaikus aicinām redakcionāli precizēt 31.3. apakšpunkta redakciju, to izsakot šāda redakcijā: "tas neatbilst nevienam no šādiem izslēgšanas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tas (vērtējot saistības grupas līmeni) atbilst kādai no Komisijas regulas Nr. </w:t>
            </w:r>
            <w:r w:rsidR="00000000" w:rsidRPr="00000000" w:rsidDel="00000000">
              <w:rPr>
                <w:rtl w:val="0"/>
              </w:rPr>
              <w:t xml:space="preserve">651/2014</w:t>
            </w:r>
            <w:r w:rsidR="00000000" w:rsidRPr="00000000" w:rsidDel="00000000">
              <w:rPr>
                <w:rtl w:val="0"/>
              </w:rPr>
              <w:t xml:space="preserve"> 2. panta 18. punktā minētajām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iesniedzējam un sadarbības partnerim Komisijas reg.651/2014 2.panta 18.punkta pazīmes nepieciešams vērtēt gan uzņēmumam individuāli, gan tā saistīto uzņēmumu grupai, šī apakšpunkta nepārprotamākai interpretācijai aicinu to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tas (</w:t>
            </w:r>
            <w:r w:rsidR="00000000" w:rsidRPr="00000000" w:rsidDel="00000000">
              <w:rPr>
                <w:b w:val="1"/>
                <w:rtl w:val="0"/>
              </w:rPr>
              <w:t xml:space="preserve">t.sk.vērtējot saistītās grupas līmenī</w:t>
            </w:r>
            <w:r w:rsidR="00000000" w:rsidRPr="00000000" w:rsidDel="00000000">
              <w:rPr>
                <w:rtl w:val="0"/>
              </w:rPr>
              <w:t xml:space="preserve">) atbilst kādai no Komisijas regulas Nr. 651/2014 2. panta 18. punktā minētajām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43.6. </w:t>
            </w:r>
            <w:r w:rsidR="00000000" w:rsidRPr="00000000" w:rsidDel="00000000">
              <w:rPr>
                <w:rtl w:val="0"/>
              </w:rPr>
              <w:t xml:space="preserve">apakšpunktā</w:t>
            </w:r>
            <w:r w:rsidR="00000000" w:rsidRPr="00000000" w:rsidDel="00000000">
              <w:rPr>
                <w:rtl w:val="0"/>
              </w:rPr>
              <w:t xml:space="preserve"> minētās iekārtu iegādes izmaksas veido ne vairāk kā 10 procentus no projekta kopējā attiecināmo izmaksu apmēra. Ja projekts tiek īstenots ar sadarbības partneriem, minētais ierobežojums tiek noteikts attiecībā pret katra sadarbības partnera kopējo attiecināmo izmaksu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iekārtu iegādes izmaksas ir minētas 43.14. apakšpunktā, lūdzam precizēt atsauci no 43.6. apakšpunkta uz 43.14.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Šo noteikumu 43.14. apakšpunktā minētās iekārtu iegādes izmaksas veido ne vairāk kā 10 procentus no projekta kopējā attiecināmo izmaksu apmēra. Ja projekts tiek īstenots ar sadarbības partneriem, minētais ierobežojums tiek noteikts attiecībā pret katra sadarbības partnera kopējo attiecināmo izmaksu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25-TA-105</w:t>
    </w:r>
    <w:r>
      <w:br/>
    </w:r>
    <w:r w:rsidR="00000000" w:rsidRPr="00000000" w:rsidDel="00000000">
      <w:rPr>
        <w:rtl w:val="0"/>
      </w:rPr>
      <w:t xml:space="preserve">Izdrukāts 25.02.2025. 21.12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25-TA-105</w:t>
    </w:r>
    <w:r>
      <w:br/>
    </w:r>
    <w:r w:rsidR="00000000" w:rsidRPr="00000000" w:rsidDel="00000000">
      <w:rPr>
        <w:rtl w:val="0"/>
      </w:rPr>
      <w:t xml:space="preserve">Izdrukāts 25.02.2025. 21.12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Atzinumi_25-TA-105.docx</dc:title>
</cp:coreProperties>
</file>

<file path=docProps/custom.xml><?xml version="1.0" encoding="utf-8"?>
<Properties xmlns="http://schemas.openxmlformats.org/officeDocument/2006/custom-properties" xmlns:vt="http://schemas.openxmlformats.org/officeDocument/2006/docPropsVTypes"/>
</file>