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51 "Eiropas Savienības Atveseļošanas un noturības mehānisma plāna 1. 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saistītā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ņemot vērā ar noteikumu projektu plānotos grozījumus, tiks veikti grozījumi vienošanās un līgumos par investīciju projektu īstenošanu. Izrietoši, ņemot vērā, ka tiks veikti vienošanās un līgumu grozījumi, lūdzam arī aizpildīt anotācijas 2.1. sadaļas apakšsadaļu "Juridiskās personas" (ietverot norādi uz Rīgas pašvaldības sabiedrību ar ierobežotu atbildību "Rīgas satiksme") un atbilstošo apakšsadaļu "Ietekmes apraksts" (skaidrojot, ka tiks veikti grozījumi līgumā par investīciju projekta īstenošanu), kā arī anotācijas 7.1. sadaļu (ietverot norādi uz Centrālo finanšu un līgumu aģentūru, Rīgas valstspilsētas pašvaldību, Ādažu novada pašvaldību un Saulkrastu novada pašvaldību).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par izslēgšanas kritērijiem un lēmumiem par izslēgšanu attiecībā uz finansējuma saņēmēju atbilstoši  </w:t>
            </w:r>
            <w:r w:rsidR="00000000" w:rsidRPr="00000000" w:rsidDel="00000000">
              <w:rPr>
                <w:rtl w:val="0"/>
              </w:rPr>
              <w:t xml:space="preserve">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(turpmāk – regula Nr. 2018/1046), 136.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Regulu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Ministru kabineta 2024. gada 16. janvāra noteikumu Nr. 51 "Eiropas Savienības Atveseļošanas un noturības mehānisma plāna 1. 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saistītā pasākuma īstenošanas noteikumi" (turpmāk – noteikumi Nr. 51) 16.1. apakšpunktā un 19. punktā regulas atsauci, norādot atsauci uz Regulu 2024/2509. Saskaņā ar Regulas 2024/2509 279. pantu atsauces uz atcelto Regulu 2018/1046 uzskata par atsaucēm uz Regulu 2024/2509, un tās lasa saskaņā ar atbilstības tabulu Regulas 2024/2509 II pielikumā. Vienlaikus lūdzam atbilstoši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par izslēgšanas kritērijiem un lēmumiem par izslēgšanu attiecībā uz finansējuma saņēmēju atbilstoši Eiropas Parlamenta un Padomes 2024. gada 23. septembra Regulas (ES, Euratom) 2024/2509 par finanšu noteikumiem, ko piemēro Savienības vispārējam budžetam (pārstrādāta redakcija) (turpmāk – regula Nr. 2024/2509), 138.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44.6. nosacījumi par informācijas publicēšanu par sniegto komercdarbības atbalstu saskaņā ar </w:t>
            </w:r>
            <w:r w:rsidR="00000000" w:rsidRPr="00000000" w:rsidDel="00000000">
              <w:rPr>
                <w:rtl w:val="0"/>
              </w:rPr>
              <w:t xml:space="preserve">regulas Nr. 651/2014</w:t>
            </w:r>
            <w:r w:rsidR="00000000" w:rsidRPr="00000000" w:rsidDel="00000000">
              <w:rPr>
                <w:rtl w:val="0"/>
              </w:rPr>
              <w:t xml:space="preserve"> 9. pantu, ņemot vērā </w:t>
            </w:r>
            <w:r w:rsidR="00000000" w:rsidRPr="00000000" w:rsidDel="00000000">
              <w:rPr>
                <w:rtl w:val="0"/>
              </w:rPr>
              <w:t xml:space="preserve">​</w:t>
            </w:r>
            <w:r w:rsidR="00000000" w:rsidRPr="00000000" w:rsidDel="00000000">
              <w:rPr>
                <w:rtl w:val="0"/>
              </w:rPr>
              <w:t xml:space="preserve">Ministru kabineta 2016. gada 21. jūnija noteikumu Nr. 386 "Kārtība, kādā publicē informāciju par sniegto komercdarbības atbalstu un piešķir un anulē elektroniskās sistēmas lietošanas tiesības"</w:t>
            </w:r>
            <w:r w:rsidR="00000000" w:rsidRPr="00000000" w:rsidDel="00000000">
              <w:rPr>
                <w:rtl w:val="0"/>
              </w:rPr>
              <w:t xml:space="preserve"> </w:t>
            </w:r>
            <w:r w:rsidR="00000000" w:rsidRPr="00000000" w:rsidDel="00000000">
              <w:rPr>
                <w:rtl w:val="0"/>
              </w:rPr>
              <w:t xml:space="preserve"> nosacījumus. Informācijas publicēšanu nodrošina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2025. gada 25. jūlijā ir stājušies spēkā Ministru kabineta 2025. gada 22. jūlija noteikumi Nr. 452 "Grozījumi Ministru kabineta 2016. gada 21. jūnija noteikumos Nr. 386 "Kārtība, kādā publicē informāciju par sniegto komercdarbības atbalstu un piešķir un anulē elektroniskās sistēmas lietošanas tiesības"", ar kuriem tika grozīts Ministru kabineta 2016. gada 21. jūnija noteikumu Nr. 386 nosaukums uz "Kārtība, kādā publicē informāciju par sniegto komercdarbības atbalstu", lūdzam noteikumu Nr.51 44.6 apakšpunktā dzēst vārdus: "un piešķir un anulē elektroniskās sistēmas lietošanas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neatkarīga revidenta vai iekšējā auditora atzinumu, kas apliecina izmaksu pamatotību un mērķa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Centrālajai finanšu un līgumu aģentūrai ir pienākums pārliecināties par izdevumu attiecināmību un mērķa sasniegšanu, kā arī, lai mazinātu finansējuma saņēmēja administratīvo slogu, ierosinām izvērtēt iespēju svītrot noteikumu Nr.51 61.1.apakšpunktu par neatkarīga revidenta vai auditora atzinuma iesniegšanu.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25-TA-2715</w:t>
    </w:r>
    <w:r>
      <w:br/>
    </w:r>
    <w:r w:rsidR="00000000" w:rsidRPr="00000000" w:rsidDel="00000000">
      <w:rPr>
        <w:rtl w:val="0"/>
      </w:rPr>
      <w:t xml:space="preserve">Izdrukāts 03.12.2025. 13.52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25-TA-2715</w:t>
    </w:r>
    <w:r>
      <w:br/>
    </w:r>
    <w:r w:rsidR="00000000" w:rsidRPr="00000000" w:rsidDel="00000000">
      <w:rPr>
        <w:rtl w:val="0"/>
      </w:rPr>
      <w:t xml:space="preserve">Izdrukāts 03.12.2025. 13.52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Atzinumi_25-TA-2715.docx</dc:title>
</cp:coreProperties>
</file>

<file path=docProps/custom.xml><?xml version="1.0" encoding="utf-8"?>
<Properties xmlns="http://schemas.openxmlformats.org/officeDocument/2006/custom-properties" xmlns:vt="http://schemas.openxmlformats.org/officeDocument/2006/docPropsVTypes"/>
</file>