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DRS: Noteikumu 17.punkts nosaka, ka “Fiziska persona, kura noteikta par IKT kritiskās infrastruktūras īpašnieka vai tiesiskā valdītāja kiberdrošības pārvaldnieku, nevar būt noteikta par kiberdrošības pārvaldnieku citā subjektā”.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gadījumā IKT kritiskās infrastruktūras īpašniekam vai tiesiskā valdītājam, izsludinot iepirkumu par kiberdrošības pārvaldnieka pakalpojumu, būs nepieciešams publiski izpaust informāciju par to, ka attiecīgais subjekts ir IKT kritiskās infrastruktūras īpašnieks vai tiesiskais valdītājs, kas rada papildus kiberdrošības draudus šim subjektam un ir pretrunā ar likumu “Par valsts noslēpumu” un uz šī likuma pamata izdotajiem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prasības noteikšana būtiski paaugstinās iestādes izmaksas Kiberdrošības pārvaldnieka nodrošināšanai. Tā piemēram, ir sagaidāms, ka ārpakalpojuma sniedzēju iespējas piedāvāt kiberdrošības pārvaldnieka pakalpojumu būs ierobežotas un visticamāk ārpakalpojuma sniedzēji nepiedalīsies šādos iepirkumos vai arī piedāvās ārpakalpojumu sniedzēji piedāvās kiberdrošības pārvaldniekus, kuru praktiskās iemaņas un zināšanas visticamāk nebūs tik profesionālas, vai arī maksa par šādu pakalpojumu sniegšanu būs nesamērīgi lielas.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“Fiziska persona, kura noteikta par IKT kritiskās infrastruktūras īpašnieka vai tiesiskā valdītāja kiberdrošības pārvaldnieku, nevar būt noteikta par kiberdrošības pārvaldnieku vairāk kā trijos būtisko pakalpojumu sniedzējos, kas ir IKT kritiskās infrastruktūras īpašnieki vai tiesiskie valdītāji”;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 persona, kura noteikta par IKT kritiskās infrastruktūras īpašnieka vai tiesiskā valdītāja kiberdrošības pārvaldnieku, nevar būt noteikta par kiberdrošības pārvaldnieku citam būtisko pakalpojumu sniedzējam, kas ir IKT kritiskās infrastruktūras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DRS: Noteikumu 4.pielikumā, B klases “”konfidencialitātes klases” skaidrojumā ir iekļauts, ka “informācijas resurss satur ierobežotas pieejamības informāciju vai vismaz 1000 datu subjektu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“informācijas resurss satur vismaz 5000 datu subjektu personas datus vai vismaz 1000 datu subjektu īpašu kategoriju personas datus”;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“informācijas resurss satur vismaz 1000 datu subjektu īpašu kategoriju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10.04.2025.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10.04.2025.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