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tāpat kā Latvijas Veselības un sociālās aprūpes darbinieku arodbiedrība (LVSADA) iebilst pret tādu noteikumu projekta redakciju, kas pieļauj Eiropas Savienības kohēzijas politikas programmas 2021.–2027. gadam 4.1.2.5. pasākuma finansējuma izmantošanu ārstniecības personu piesaistei privātajā ambulatorajā sektorā uz būtībā vienādiem nosacījumiem ar valsts un pašvaldību stacionārajām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ieskatā šāda pieeja neatbilst pašā pasākuma nosaukumā un mērķī ietvertajai prioritātei — piesaistīt un noturēt ārstniecības personas darbam valsts apmaksāto veselības aprūpes pakalpojumu sektorā, īpaši stacionāros. Ja atbalsta mehānisms bez pietiekamas diferenciācijas tiek attiecināts arī uz privātajām ārstniecības iestādēm, kuras darbojas komercdarbības apstākļos, pastāv risks vājināt publiskā sektora spēju piesaistīt personālu tajās jomās, kurās personāla trūkums visvairāk apdraud veselības aprūpes sistēmas nepārtrauktību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ieskatā ES fondu un valsts budžeta līdzekļi primāri novirzāmi tiem veselības aprūpes segmentiem, kuros tirgus mehānismi paši par sevi nenodrošina pietiekamu personāla piesaisti, proti, valsts un pašvaldību stacionārajām ārstniecības iestādēm, primārajai veselības aprūpei un atsevišķiem sabiedriski īpaši nozīmīgiem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iebilst pret noteikumu projekta redakciju, ciktāl tā pieļauj 4.1.2.5. pasākuma finansējuma izmantošanu ārstniecības personu piesaistei privātajās ārstniecības iestādēs uz nosacījumiem, kas nav pietiekami diferencēti no valsts un pašvaldību stacionāro ārstniecības iestāžu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saskaņā ar noteikumu 6. punktu ir piesaistīt un noturēt ārstniecības personas darbam valsts apmaksāto veselības aprūpes pakalpojumu sektorā, īpaši stacionāros. Tādēļ atbalsta mehānismam jābūt veidotam tā, lai publiskais finansējums primāri stiprinātu publiskā sektora kapacitāti tajās jomās, kur personāla trūkums visvairāk ietekmē valsts apmaksāto pakalpojumu pieejamību un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 šo noteikumu </w:t>
            </w:r>
            <w:r w:rsidR="00000000" w:rsidRPr="00000000" w:rsidDel="00000000">
              <w:rPr>
                <w:rtl w:val="0"/>
              </w:rPr>
              <w:t xml:space="preserve">21.1.</w:t>
            </w:r>
            <w:r w:rsidR="00000000" w:rsidRPr="00000000" w:rsidDel="00000000">
              <w:rPr>
                <w:vertAlign w:val="superscript"/>
                <w:rtl w:val="0"/>
              </w:rPr>
              <w:t xml:space="preserve">1</w:t>
            </w:r>
            <w:r w:rsidR="00000000" w:rsidRPr="00000000" w:rsidDel="00000000">
              <w:rPr>
                <w:rtl w:val="0"/>
              </w:rPr>
              <w:t xml:space="preserve">  apakšpunktā minētās atbalstāmās iestādes, kurām tiek piešķirts komercdarbības atbalsts saskaņā ar šo noteikumu VII nodaļu;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 šo noteikumu 21.1.</w:t>
            </w:r>
            <w:r w:rsidR="00000000" w:rsidRPr="00000000" w:rsidDel="00000000">
              <w:rPr>
                <w:vertAlign w:val="superscript"/>
                <w:rtl w:val="0"/>
              </w:rPr>
              <w:t xml:space="preserve">1</w:t>
            </w:r>
            <w:r w:rsidR="00000000" w:rsidRPr="00000000" w:rsidDel="00000000">
              <w:rPr>
                <w:rtl w:val="0"/>
              </w:rPr>
              <w:t xml:space="preserve">. apakšpunktā minētās atbalstāmās iestādes, kas ir valsts vai pašvaldību ārstniecības iestādes, kuras nodrošina stacionāro veselības aprūpi, kā arī ārstniecības iestādes, kas nodrošina primāro veselības aprūpi (ģimenes ārstu prakses) un valsts apmaksātus zobārstniecības pakalpojumus bērniem.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Uz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noteiktajām vienreizējām kompensācijām var pretendēt ārstniecības personas (turpmāk – kompensācijas pretendents vai kompensācijas saņēmējs) darbam prioritārajās jomās, tas ir, sirds un asinsvadu slimības, onkoloģija, psihiskā veselība, mātes un bērna veselības aprūpe, retās slimības, paliatīvā aprūpe, medicīniskā rehabilitācija, un ar šīm jomām saistītajās specialitātēs (turpmāk – atbalstāmās specialitātes), ja ir spēkā šādi nosacījumi: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21. punktu ar jaunu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“Vienreizējās kompensācijas prioritāri piešķir ārstniecības personām darbam valsts un pašvaldību stacionārajās ārstniecības iestādēs. Ārstniecības iestādes, kas nav valsts vai pašvaldību ārstniecības iestādes, uz atbalstu var pretendēt tikai tad, ja attiecīgajā teritorijā nav valsts vai pašvaldības ārstniecības iestādes, kas nodrošina konkrēto valsts apmaksāto veselības aprūpes pakalpojumu. Minētais ierobežojums nav attiecināms uz ģimenes ārstu praksēm un valsts apmaksātiem zobārstniecības pakalpojumiem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grozījumi nodrošinātu atbilstību pasākuma mērķim; publiskā finansējuma mērķtiecīgu izmantošanu; publiskā sektora, īpaši stacionāru, kapacitātes stiprināšanu; samērīgu pieeju komercdarbības atbalsta piešķiršanai un izņēmumu saglabāšanu jomās, kur tas ir objektīvi pamatots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17.04.2026.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17.04.2026.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Atzinumi_26-TA-652.docx</dc:title>
</cp:coreProperties>
</file>

<file path=docProps/custom.xml><?xml version="1.0" encoding="utf-8"?>
<Properties xmlns="http://schemas.openxmlformats.org/officeDocument/2006/custom-properties" xmlns:vt="http://schemas.openxmlformats.org/officeDocument/2006/docPropsVTypes"/>
</file>