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22-TA-3482: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pārstāvi Vienotā noregulējuma valdē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rīkojuma projekta sākotnējās ietekmes novērtējuma ziņojuma (anotācijas) (turpmāk - anotācija) 1.1.apakšsadaļā atrunāto saīsinājumu "(turpmāk - Komisijas regula Nr. 1093/2010)" un tālāko anotācijas tekstu, kur šis saīsinājums lietots, uz, piemēram, šādu saīsinājumu "(turpmāk - regula Nr. 806/2014)". Anotācijā norādītais saīsinājums, it sevišķi ir precizējams, lai tālākajā anotācijas tekstā veidotu korektas atsauces uz aktuālās regulas (ar numuru 806/2014) normām.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Lelde Stepanova (LB)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1.2.apakšsadaļā norādīts, ka rīkojums stāsies spēkā 2023.gada 1.janvārī.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 atbilstoši Oficiālo publikāciju un tiesiskās informācijas likuma 7.panta trešajai daļai Ministru kabineta rīkojums, izņemot administratīvo aktu, stājas spēkā tā parakstīšanas brīdī.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Līdz ar to minētās informācijas (par rīkojuma spēkā stāšanos) norādīšana anotācijā nenodrošinās rīkojuma spēkā stāšanos noteiktā datumā.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minēto, lūdzam rīkojuma projekta anotācijā norādīt, ka rīkojuma projekts stājas spēkā vispārējā kārtībā, un precizēt rīkojuma projekta 1.punktu, norādot, ka pārstāvis tiek noteikts ar 2023.gada 1.janvāri.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Lelde Stepanova (LB)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Saskaņā ar Ministru kabineta 2021.gada 7.septembra noteikumu Nr.617 "Tiesību akta projekta sākotnējās ietekmes izvērtēšanas kārtība" 14.7.apakšpunktu viena no anotācijas sadaļām ir projekta izpildes nodrošināšana un tās ietekme uz institūcijām.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Minēto noteikumu 15.punktā noteikts, ka </w:t>
            </w:r>
            <w:r w:rsidR="00000000" w:rsidRPr="00000000" w:rsidDel="00000000">
              <w:rPr>
                <w:u w:val="single"/>
                <w:rtl w:val="0"/>
              </w:rPr>
              <w:t xml:space="preserve">visiem projektiem aizpilda</w:t>
            </w:r>
            <w:r w:rsidR="00000000" w:rsidRPr="00000000" w:rsidDel="00000000">
              <w:rPr>
                <w:rtl w:val="0"/>
              </w:rPr>
              <w:t xml:space="preserve"> šo noteikumu 14.1., 14.2., 14.6. un </w:t>
            </w:r>
            <w:r w:rsidR="00000000" w:rsidRPr="00000000" w:rsidDel="00000000">
              <w:rPr>
                <w:u w:val="single"/>
                <w:rtl w:val="0"/>
              </w:rPr>
              <w:t xml:space="preserve">14.7. apakšpunktā</w:t>
            </w:r>
            <w:r w:rsidR="00000000" w:rsidRPr="00000000" w:rsidDel="00000000">
              <w:rPr>
                <w:rtl w:val="0"/>
              </w:rPr>
              <w:t xml:space="preserve"> minēto anotācijas sadaļu.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minēto, kā arī rīkojuma projektā paredzēto, ka par Latvijas pārstāvi Vienotā noregulējuma valdē tiek noteikts Latvijas Bankas uzraudzības komitejas vadītājs, lūdzam aizpildīt anotācijas 7.sadaļu.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Lelde Stepanova (LB)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22-TA-3482</w:t>
    </w:r>
    <w:r>
      <w:br/>
    </w:r>
    <w:r w:rsidR="00000000" w:rsidRPr="00000000" w:rsidDel="00000000">
      <w:rPr>
        <w:rtl w:val="0"/>
      </w:rPr>
      <w:t xml:space="preserve">Izdrukāts 09.12.2022. 15.52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22-TA-3482</w:t>
    </w:r>
    <w:r>
      <w:br/>
    </w:r>
    <w:r w:rsidR="00000000" w:rsidRPr="00000000" w:rsidDel="00000000">
      <w:rPr>
        <w:rtl w:val="0"/>
      </w:rPr>
      <w:t xml:space="preserve">Izdrukāts 09.12.2022. 15.52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