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Bērnu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Izteikt 52.</w:t>
            </w:r>
            <w:r w:rsidR="00000000" w:rsidRPr="00000000" w:rsidDel="00000000">
              <w:rPr>
                <w:vertAlign w:val="superscript"/>
                <w:rtl w:val="0"/>
              </w:rPr>
              <w:t xml:space="preserve">1</w:t>
            </w:r>
            <w:r w:rsidR="00000000" w:rsidRPr="00000000" w:rsidDel="00000000">
              <w:rPr>
                <w:rtl w:val="0"/>
              </w:rPr>
              <w:t xml:space="preserve"> panta otro un trešo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Bērnu aizsardzības centrs, lai nodrošinātu šā panta pirmajā daļā noteiktos starpinstitucionālās sadarbības programmas "Bērna māja" darbības mērķu izpildi, valsts informācijas sistēmā apstrādā personas datus par starpinstitucionālās sadarbības programmas “Bērna māja” ietvaros sniegtajiem pakalpojumiem un veicamajām darbībām, par starpinstitucionālās sadarbības programmā “Bērna māja”” uzņemtajiem bērniem, pakalpojumu sniegšanā bērniem iesaistītajām personām, bērnu nevardarbīgajiem tuviniekiem un likumiskajiem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Starpinstitucionālās sadarbības programmas "Bērna māja" ietvaros kompetentās institūcijas informācijas sistēmā apstrādā šādus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vardarbībā cietušā bērna labākajām interesēm atbilstošu intervences pasākumu, tai skaitā bērna vajadzību un risku izvērtēšanu, medicīnisko, psiholoģisko un sociālo atbalstu bērnam un tā nevardarbīgajam tuviniekam nodrošināšanai vienuviet - vardarbībā cietušā bērna un ar viņu saistīto citu personu personas datus un veselības datus, kas noteikti normatīvajos aktos par kārtību, kādā tiek īstenota starpinstitucionālās sadarbības programma "Bērna māja" un ir nepieciešami atbalsta un palīdzības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kriminālprocesuālo darbību veikšanas nodrošināšanai ar bērniem, kuri cietuši no noziedzīgiem nodarījumiem pret tikumību un dzimumneaizskaramību, kā arī no Krimināllikuma 125. panta otrās daļas 9. punktā, 126. panta otrās daļas 7. punktā, 130. panta trešās daļas 6. punktā un 174. pantā minētajiem noziedzīgajiem nodarījumiem - vardarbībā cietušā bērna un ar viņu saistīto citu personu personas datus un veselības datus Kriminālprocesa likumā un normatīvajos aktos par kārtību, kādā tiek īstenota starpinstitucionālās sadarbības programma "Bērna māja" noteiktajā apjomā. Ja pēc procesa virzītāja lūguma saņemšanas tiek nodrošināta iespēja veikt bērna pratināšanu, attiecīgās kriminālprocesuālās darbības norisi fiksē skaņu vai skaņu un attēlu ierakstā (ar tehniskiem līdzekļiem), ņemot vērā Kriminālprocesa likuma 152.panta pirmajā, ceturtajā, piektajā un astotajā daļā, kā arī 153.panta otrajā un trešajā dāļā ietvertos priekšrakstus un minētās informācijas apstrādes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koordinēšanai un informācijas apmaiņas nodrošināšanai starp kompetentajām institūcijām  - vardarbībā cietušā bērna un ar viņu saistīto citu personu personas datus un veselības datus, kas nepieciešami šo kompetento institūciju normatīvajos aktos noteiktās funkcijas un uzdevuma -  vardarbības pret bērnu gadījuma vadīšanā, neveicot atkārtotu vienas un tās pašas informācijas ieguvi no bērna (atkārtotu bērna iztaujāšanu u. tml.), kā arī saņemtās informācijas uzkrāšanas nodrošināšanai un statistikas datu analīzei. Ja pēc sociālā dienesta, bāriņtiesas vai valsts sabiedrības ar ierobežotu atbildību "Bērnu klīniskā universitātes slimnīca" lūguma saņemšanas tiek nodrošināta iespēja veikt bērna iztaujāšanu ar psihologa starpniecību (strukturētu psihologa sarunu ar bērnu), attiecīgās psihologa sarunas ar bērnu norisi fiksē, veicot video ierakstu."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tiesību aizsardzības likuma 52.</w:t>
            </w:r>
            <w:r w:rsidR="00000000" w:rsidRPr="00000000" w:rsidDel="00000000">
              <w:rPr>
                <w:vertAlign w:val="superscript"/>
                <w:rtl w:val="0"/>
              </w:rPr>
              <w:t xml:space="preserve">1</w:t>
            </w:r>
            <w:r w:rsidR="00000000" w:rsidRPr="00000000" w:rsidDel="00000000">
              <w:rPr>
                <w:rtl w:val="0"/>
              </w:rPr>
              <w:t xml:space="preserve"> panta otrā daļa paredz, ka starpinstitucionālās sadarbības programmai "Bērna māja" ir šādi uzdevumi: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vienuviet nodrošināt vardarbībā cietušā bērna labākajām interesēm atbilstošus intervences pasākumus, tai skaitā bērna vajadzību un risku izvērtēšanu, medicīnisko, psiholoģisko un sociālo atbalstu bērnam un tā nevardarbīgajam tuviniekam;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iespēju veikt kriminālprocesuālās darbības bērniem, kuri cietuši no noziedzīgiem nodarījumiem pret tikumību un dzimumneaizskaramību, kā arī no Krimināllikuma 125. panta otrās daļas 9. punktā, 126. panta otrās daļas 7. punktā, 130. panta trešās daļas 6. punktā un 174. pantā minētajiem noziedzīgajiem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koordinēt un nodrošināt, lai kompetentās institūcijas apmainās ar informāciju, apstrādā nepieciešamos vardarbībā cietušā bērna un ar viņu saistīto citu personu datus, tai skaitā īpašu kategoriju personas datus, kas kompetento institūciju pilnvaru īstenošanai nepieciešami vardarbības pret bērnu gadījuma vadīšanā, neveicot atkārtotu vienas un tās pašas informācijas ieguvi no bērna (atkārtotu bērna iztaujāšanu u. tml.), kā arī nodrošināt saņemtās informācijas uzkrāšanu un veidot statistikas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izteikt minēto normu jaunā redakcijā, nosakot, ka Bērnu aizsardzības centrs, lai nodrošinātu šā panta pirmajā daļā noteiktos starpinstitucionālās sadarbības programmas "Bērna māja" darbības mērķu izpildi, valsts informācijas sistēmā apstrādā personas datus par starpinstitucionālās sadarbības programmas “Bērna māja” ietvaros sniegtajiem pakalpojumiem un veicamajām darbībām, par starpinstitucionālās sadarbības programmā “Bērna māja”” uzņemtajiem bērniem, pakalpojumu sniegšanā bērniem iesaistītajām personām, bērnu nevardarbīgajiem tuviniekiem un likumiskajiem pārstāvjiem. Tādējādi nav skaidrs, kur turpmāk būs noteikti starpinstitucionālās sadarbības programmas "Bērna māja" uzdevumi un darbības ietvars.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likumprojektu vai likumprojekta sākotnējās ietekmes novērtējuma ziņojumu papildināt ar minētā jautājuma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pants. Izteikt 52.</w:t>
            </w:r>
            <w:r w:rsidR="00000000" w:rsidRPr="00000000" w:rsidDel="00000000">
              <w:rPr>
                <w:vertAlign w:val="superscript"/>
                <w:rtl w:val="0"/>
              </w:rPr>
              <w:t xml:space="preserve">1</w:t>
            </w:r>
            <w:r w:rsidR="00000000" w:rsidRPr="00000000" w:rsidDel="00000000">
              <w:rPr>
                <w:rtl w:val="0"/>
              </w:rPr>
              <w:t xml:space="preserve"> panta otro un trešo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Bērnu aizsardzības centrs, lai nodrošinātu šā panta pirmajā daļā noteiktos starpinstitucionālās sadarbības programmas "Bērna māja" darbības mērķu izpildi, valsts informācijas sistēmā apstrādā personas datus par starpinstitucionālās sadarbības programmas “Bērna māja” ietvaros sniegtajiem pakalpojumiem un veicamajām darbībām, par starpinstitucionālās sadarbības programmā “Bērna māja”” uzņemtajiem bērniem, pakalpojumu sniegšanā bērniem iesaistītajām personām, bērnu nevardarbīgajiem tuviniekiem un likumiskajiem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Starpinstitucionālās sadarbības programmas "Bērna māja" ietvaros kompetentās institūcijas informācijas sistēmā apstrādā šādus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vardarbībā cietušā bērna labākajām interesēm atbilstošu intervences pasākumu, tai skaitā bērna vajadzību un risku izvērtēšanu, medicīnisko, psiholoģisko un sociālo atbalstu bērnam un tā nevardarbīgajam tuviniekam nodrošināšanai vienuviet - vardarbībā cietušā bērna un ar viņu saistīto citu personu personas datus un veselības datus, kas noteikti normatīvajos aktos par kārtību, kādā tiek īstenota starpinstitucionālās sadarbības programma "Bērna māja" un ir nepieciešami atbalsta un palīdzības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kriminālprocesuālo darbību veikšanas nodrošināšanai ar bērniem, kuri cietuši no noziedzīgiem nodarījumiem pret tikumību un dzimumneaizskaramību, kā arī no Krimināllikuma 125. panta otrās daļas 9. punktā, 126. panta otrās daļas 7. punktā, 130. panta trešās daļas 6. punktā un 174. pantā minētajiem noziedzīgajiem nodarījumiem - vardarbībā cietušā bērna un ar viņu saistīto citu personu personas datus un veselības datus Kriminālprocesa likumā un normatīvajos aktos par kārtību, kādā tiek īstenota starpinstitucionālās sadarbības programma "Bērna māja" noteiktajā apjomā. Ja pēc procesa virzītāja lūguma saņemšanas tiek nodrošināta iespēja veikt bērna pratināšanu, attiecīgās kriminālprocesuālās darbības norisi fiksē skaņu vai skaņu un attēlu ierakstā (ar tehniskiem līdzekļiem), ņemot vērā Kriminālprocesa likuma 152.panta pirmajā, ceturtajā, piektajā un astotajā daļā, kā arī 153.panta otrajā un trešajā dāļā ietvertos priekšrakstus un minētās informācijas apstrādes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koordinēšanai un informācijas apmaiņas nodrošināšanai starp kompetentajām institūcijām  - vardarbībā cietušā bērna un ar viņu saistīto citu personu personas datus un veselības datus, kas nepieciešami šo kompetento institūciju normatīvajos aktos noteiktās funkcijas un uzdevuma -  vardarbības pret bērnu gadījuma vadīšanā, neveicot atkārtotu vienas un tās pašas informācijas ieguvi no bērna (atkārtotu bērna iztaujāšanu u. tml.), kā arī saņemtās informācijas uzkrāšanas nodrošināšanai un statistikas datu analīzei. Ja pēc sociālā dienesta, bāriņtiesas vai valsts sabiedrības ar ierobežotu atbildību "Bērnu klīniskā universitātes slimnīca" lūguma saņemšanas tiek nodrošināta iespēja veikt bērna iztaujāšanu ar psihologa starpniecību (strukturētu psihologa sarunu ar bērnu), attiecīgās psihologa sarunas ar bērnu norisi fiksē, veicot video ierakstu."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likumprojekta 2. pantā ietverto Bērnu tiesību aizsardzības likuma 52.</w:t>
            </w:r>
            <w:r w:rsidR="00000000" w:rsidRPr="00000000" w:rsidDel="00000000">
              <w:rPr>
                <w:vertAlign w:val="superscript"/>
                <w:rtl w:val="0"/>
              </w:rPr>
              <w:t xml:space="preserve">1</w:t>
            </w:r>
            <w:r w:rsidR="00000000" w:rsidRPr="00000000" w:rsidDel="00000000">
              <w:rPr>
                <w:rtl w:val="0"/>
              </w:rPr>
              <w:t xml:space="preserve"> panta otro daļu attiecīgi personas dati tiks apstrādāti </w:t>
            </w:r>
            <w:r w:rsidR="00000000" w:rsidRPr="00000000" w:rsidDel="00000000">
              <w:rPr>
                <w:u w:val="single"/>
                <w:rtl w:val="0"/>
              </w:rPr>
              <w:t xml:space="preserve">valsts informācijas sistēmā,</w:t>
            </w:r>
            <w:r w:rsidR="00000000" w:rsidRPr="00000000" w:rsidDel="00000000">
              <w:rPr>
                <w:rtl w:val="0"/>
              </w:rPr>
              <w:t xml:space="preserve"> attiecīgi precizēt likumprojekta 2. pantā ietverto Bērnu tiesību aizsardzības likuma 52.</w:t>
            </w:r>
            <w:r w:rsidR="00000000" w:rsidRPr="00000000" w:rsidDel="00000000">
              <w:rPr>
                <w:vertAlign w:val="superscript"/>
                <w:rtl w:val="0"/>
              </w:rPr>
              <w:t xml:space="preserve">1</w:t>
            </w:r>
            <w:r w:rsidR="00000000" w:rsidRPr="00000000" w:rsidDel="00000000">
              <w:rPr>
                <w:rtl w:val="0"/>
              </w:rPr>
              <w:t xml:space="preserve"> panta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aizstāt likumprojekta 2. pantā ietvertajā Bērnu tiesību aizsardzības likuma 52.</w:t>
            </w:r>
            <w:r w:rsidR="00000000" w:rsidRPr="00000000" w:rsidDel="00000000">
              <w:rPr>
                <w:vertAlign w:val="superscript"/>
                <w:rtl w:val="0"/>
              </w:rPr>
              <w:t xml:space="preserve">1</w:t>
            </w:r>
            <w:r w:rsidR="00000000" w:rsidRPr="00000000" w:rsidDel="00000000">
              <w:rPr>
                <w:rtl w:val="0"/>
              </w:rPr>
              <w:t xml:space="preserve"> panta trešās daļas 3. punktā vārdus "kas nepieciešami šo kompetento institūciju normatīvajos aktos noteiktās funkcijas un uzdevuma" ar vārdiem "kas nepieciešami šo kompetento institūciju normatīvajos aktos noteikto funkciju un uzdevumu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sākotnējās ietekmes novērtējuma ziņojumā (turpmāk - anotācija) sadaļā "Risinājuma apraksts" norādīts "Vienlaikus skaidrāk noformulēts, kādu mērķu sasniegšanai Bērmu aizsardzības centrs starpinstitucionālās sadarbības programmas "Bērna māja" ietvaros veic personas datu apstrādi valsts informācijas sistēmā un kāda veida personas datus Bērnu aizsardzības centrs apstrādā. Papildus arī precizēts apstrādājamo datu apjoms konkrētu starpinstitucionālās sadarbības programmas "Bērna māja"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minētās informācijas nav viennozīmīgi skaidrs, vai ar likumprojektu attiecīgo apstrādājamo datu apjomu ir paredzēts mainīt (paplašināt vai sašaurināt). No likumprojekta  2. pantā ietvertā Bērnu tiesību aizsardzības likuma 52.</w:t>
            </w:r>
            <w:r w:rsidR="00000000" w:rsidRPr="00000000" w:rsidDel="00000000">
              <w:rPr>
                <w:vertAlign w:val="superscript"/>
                <w:rtl w:val="0"/>
              </w:rPr>
              <w:t xml:space="preserve">1</w:t>
            </w:r>
            <w:r w:rsidR="00000000" w:rsidRPr="00000000" w:rsidDel="00000000">
              <w:rPr>
                <w:rtl w:val="0"/>
              </w:rPr>
              <w:t xml:space="preserve"> panta trešās daļas secināms, ka  datu apstrāde tiks veikta Kriminālprocesa likumā un normatīvajos aktos par kārtību, kādā tiek īstenota starpinstitucionālās sadarbības programma "Bērna māja"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anotācijā ietverto informāciju, lai tā atbilst likumprojektā ietvertajām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tiesiskās skaidrības nodrošināšanai, lūdzam papildināt anotāciju ar Kriminālprocesa likumā un normatīvajos aktos par kārtību, kādā tiek īstenota starpinstitucionālās sadarbības programma "Bērna māja" noteikto apstrādājamo personas datu apjoma piemēru uzskaitījumu.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Ministru kabineta 2023. gada 24. oktobra noteikumu Nr. 608 "Kārtība, kādā tiek īstenota starpinstitucionālās sadarbības programma "Bērna māja"" 7.1. apakšpunkts noteic, ka Valsts bērnu tiesību aizsardzības inspekcija programmu uzsāk īstenot Bērnu tiesību aizsardzības likuma 52.</w:t>
            </w:r>
            <w:r w:rsidR="00000000" w:rsidRPr="00000000" w:rsidDel="00000000">
              <w:rPr>
                <w:vertAlign w:val="superscript"/>
                <w:rtl w:val="0"/>
              </w:rPr>
              <w:t xml:space="preserve">1</w:t>
            </w:r>
            <w:r w:rsidR="00000000" w:rsidRPr="00000000" w:rsidDel="00000000">
              <w:rPr>
                <w:rtl w:val="0"/>
              </w:rPr>
              <w:t xml:space="preserve"> panta otrās daļas 2. punktā noteiktajos gadījumos, pēc tam, kad ir saņemts procesa virzītāja lūgums organizēt bērna nopratināšanu ar psihologa starpniecību un izmantojot tehniskos līdzekļus, kā arī veikt citas kriminālprocesuālās darbības. Procesa virzītājs norāda šādu informāciju par bērnu: vārds un uzvārds; dzimšanas dati; pārstāvja kriminālprocesā vārds, uzvārds un pārstāvības pamatojums saskaņā ar Kriminālprocesa likuma 104. pantu; valoda, kādā bērns runā.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26.11.2025. 08.16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26.11.2025. 08.16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Atzinumi_25-TA-722.docx</dc:title>
</cp:coreProperties>
</file>

<file path=docProps/custom.xml><?xml version="1.0" encoding="utf-8"?>
<Properties xmlns="http://schemas.openxmlformats.org/officeDocument/2006/custom-properties" xmlns:vt="http://schemas.openxmlformats.org/officeDocument/2006/docPropsVTypes"/>
</file>