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Projektu iesniegumu konkurss var būt: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nav skaidrības -kādos gadījumos un uz kādiem normatīvajiem aktiem tiks balstīts 14.2. punktā paredzētā kārtība, kādā veidā tiks nodrošināta lēmum pieņemšanas, atklātība un pārskatāmība.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noteikumu projektā iekļautās procedūras un to piemērošana var radīt korupcijas un politiskas ietekmēšanas riskus projektu finansējuma apguvē, tā kā projektu īstenošana paredzēta ar atvasinātas publiskas personas starpniecību SIA” Vides investīciju fonds”, kas ir VARAM pakļautībā esoša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lēmuma pieņemšanu, novērstu politiskas ietekmēšanas un korupcijas riskus - aicinām papildināt normatīvu ar kritērijiem un gadījumiem, kuros ir iespējams piemērot ierobežotu konkursu, ja pēc šāda instrumenta ir vajadzība, līdztekus nodrošinot uzraudzību un atklātību sabiedrībai, par publisku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nodrošināt, ka šādu konkursu rezultātā netiks radīta negodīga konkurences priekšrocība attiecībā uz investīcijām publiskajā un privātajā infrastruktūrā, kuru modernizācija ir nepieciešama virknei komersantu.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skaidriem noteikumiem, ar kritērijiem un gadījumiem, kuros ir iespējams piemērot ierobežotu konkursu, ja pēc šāda instrumenta ir vajadzība, līdztekus nodrošinot uzraudzību un atklātību sabiedrībai, par publisku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normu un nodrošināt, ka šādu konkursu rezultātā netiks radīta negodīga konkurences priekšrocība attiecībā uz investīcijām publiskajā un privātajā infrastruktūrā, kuru modernizācija ir nepieciešama virknei komersantu.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iesniegumu konkursu izsludina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 norātīts pie 14.punkta, ko lūgums vērtēt un papildināt saskaņoti ar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skaidriem noteikumiem, ar kritērijiem un gadījumiem, kuros ir iespējams piemērot ierobežotu konkursu, ja pēc šāda instrumenta ir vajadzība, līdztekus nodrošinot uzraudzību un atklātību sabiedrībai, par publisku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normu un nodrošināt, ka šādu konkursu rezultātā netiks radīta negodīga konkurences priekšrocība attiecībā uz investīcijām publiskajā un privātajā infrastruktūrā, kuru modernizācija ir nepieciešama virknei komersantu.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30.03.2023.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30.03.2023.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