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22-TA-3386: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nodod lietošanā vai apgrūtina valstij piederošo vai piekrītošo zemi publiskās lietošanas dzelzceļa infrastruktūras zemes nodalījuma joslā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"Conexus Baltic Grid"</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zeme nepieciešama dzelzceļa infrastruktūras attīstībai, pārvaldītāja darbības nodrošināšanai vai normatīvajos aktos noteikto publisko funkciju veikšanai,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inženierbūvi pārvieto atbilstoši normatīvajos aktos noteiktajam. Ja zeme nepieciešama dzelzceļa infrastruktūras attīstības projektiem atbilstoši spēkā esošajiem dzelzceļa nozares attīstības plānošanas vai normatīvajiem dokumentiem,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inženierbūvi pārvieto par inženierbūves īpašnieka vai tiesiskā valdītāja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"Conexus Baltic Grid" (turpmāk - Conexus Baltic Grid) izsaka iebildumu par Ministru kabineta noteikumu "Kārtība, kādā nodod lietošanā vai apgrūtina valstij piederošo vai piekrītošo zemi publiskās lietošanas dzelzceļa infrastruktūras zemes nodalījuma joslā" projekta (turpmāk - Noteikumu projekts) 12. punkta otro teikumu, kas nosaka: </w:t>
            </w:r>
            <w:r w:rsidR="00000000" w:rsidRPr="00000000" w:rsidDel="00000000">
              <w:rPr>
                <w:i w:val="1"/>
                <w:rtl w:val="0"/>
              </w:rPr>
              <w:t xml:space="preserve">"Ja zeme nepieciešama dzelzceļa infrastruktūras attīstības projektiem atbilstoši spēkā esošajiem dzelzceļa nozares attīstības plānošanas vai normatīvajiem dokumentiem, šo noteikumu ​9. punktā minēto inženierbūvi pārvieto par inženierbūves īpašnieka vai tiesiskā valdītāja līdzekļiem"</w:t>
            </w:r>
            <w:r w:rsidR="00000000" w:rsidRPr="00000000" w:rsidDel="00000000">
              <w:rPr>
                <w:rtl w:val="0"/>
              </w:rPr>
              <w:t xml:space="preserve">, un kas ir izslēdzams no Noteikumu projekta.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Conexus Baltic Grid savus iebildumus pamato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 šobrīd spēkā esošie normatīvie akti - Enerģētikas likums, Aizsargjoslu likums, nosaka kārtību kā notiek inženierbūves pārvietošana un kas sedz ar to saistītās izmaksas (jau aprakstīts Conexus Baltic Grid 24.04.2023., 11.10.2023. iebildumos);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12. punkta otrais teikums var rādīt nepamatotu finansiālo slogu Conexus Baltic Grid saistībā ar Rail Baltica projekta īstenošanu. Rail Baltica projekta īstenošanai jau ir identificētas vairākas vietas, kurās būs nepieciešams pārvietot Conexus Baltic Grid piederošās inženierbūves, kas balstītas uz iepriekš veiktiem pieņēmumiem Rail Baltica projekta īstenošanā, un ar kuru pārvietošanu saistītās izmaksas segs Rail Baltica projekta īstenotāji. Ievērojot to, ka šobrīd tiek būtiski pārskatīta Rail Baltica projekta īstenošana, tā īstenošanas laikā var rasties situācijas, ka jau pārvietotās Conexus Baltic Grid piederošās inženierbūves būtu jāpārvieto atkārtoti, kas jau pēc šo Noteikumu projekta 12. punkta otrā teikuma redakcijas būtu darāmi par Conexus Baltic Grid līdzekļiem. Ņemot vērā, ka Conexus Baltic Grid ir sabiedrisko pakalpojumu sniedzējs, šādu nepamatotu, no Conexus Baltic Grid neatkarīgu iemeslu dēļ, izmaksu veidošanās nav pieļaujama;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Veidojas tiesību normu kolīzijas starp Noteikumu projekta 12. punkta pirmo un otro teikumu, kur pirmajā teikumā tiek noteikts, ka pārvietošana notiek saskaņā ar normatīvajiem aktiem - šajā gadījumā augstāka juridiskā spēka normatīvajiem aktiem - likumu, taču otrajā teikumā pārvietošanas izmaksu jautājums tiek regulēts ar zemāka juridiskā spēka normatīvo aktu - Ministru kabineta noteikumiem;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projekta 12. punkta otrais teikums ir pretrunā ar Civillikumā nostiprinātajiem piekrišanas izsniegšanas principiem, proti, ja reiz ir dota piekrišana, tad piekrišanas devējs to nevar vienpusēji atsaukt, ja arī tas šī iemesla dēļ cieš zaudējumus (Civillikuma 1432. pants). Tas nozīmē, ja esošās inženierbūves ir ierīkotas dzelzceļa nodalījuma joslā ar dzelzceļa infrastruktūras pārvaldītāja atļauju, tas vairs nevar to vienpusēji atsaukt un uzlikt par pienākumu inženierbūves īpašniekam atbrīvot dzelzceļa nodalījuma joslu par saviem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12. punkta otro teikumu.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Vidaga Paulauska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22-TA-3386</w:t>
    </w:r>
    <w:r>
      <w:br/>
    </w:r>
    <w:r w:rsidR="00000000" w:rsidRPr="00000000" w:rsidDel="00000000">
      <w:rPr>
        <w:rtl w:val="0"/>
      </w:rPr>
      <w:t xml:space="preserve">Izdrukāts 27.11.2024. 15.35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22-TA-3386</w:t>
    </w:r>
    <w:r>
      <w:br/>
    </w:r>
    <w:r w:rsidR="00000000" w:rsidRPr="00000000" w:rsidDel="00000000">
      <w:rPr>
        <w:rtl w:val="0"/>
      </w:rPr>
      <w:t xml:space="preserve">Izdrukāts 27.11.2024. 15.35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Atzinumi_22-TA-3386.docx</dc:title>
</cp:coreProperties>
</file>

<file path=docProps/custom.xml><?xml version="1.0" encoding="utf-8"?>
<Properties xmlns="http://schemas.openxmlformats.org/officeDocument/2006/custom-properties" xmlns:vt="http://schemas.openxmlformats.org/officeDocument/2006/docPropsVTypes"/>
</file>