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 panta 32. punktā ir noteikts, ka pamatdarbības veids ir jānorāda saskaņā ar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pamatdarbības veids — atbilstoši Eiropas Parlamenta un Padomes 2006.gada 20.decembra regulai (EK) Nr. 1893/2006, ar ko izveido NACE 2.red. saimniecisko darbību statistisko klasifikāciju, kā arī groza Padomes regulu (EEK) Nr. 3037/90 un dažas EK regulas par īpašām statistikas jomām (Dokuments attiecas uz EEZ) (turpmāk — NACE 2.red.) klasificēts nodokļa maksātāja (izņemot fiziskās personas, kas neveic saimniecisko darbību) darbības veids ar vislielāko īpatsvaru kopējā apgrozījumā taksācijas gadā. Nodokļu maksātājiem, kas uzsāk saimniecisko darbību, pamatdarbības veidu nosaka pēc plānotajiem apgrozījuma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kura statistikas nodrošināšanā tiks piemērota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 panta 32. punktā noteikto, pamatdarbības klasificēšanai arī pēc 2025. gada 1. janvāra Valsts ieņēmumu dienests (turpmāk - VID) lietos NACE 2. red., kas radīs grūtības no VID saņemto datu apstrādē un uzņēmumu korekta darbības veida attēlošanā dažādos publiski pieejamos datu avotos, kas lieto gan VID, gan Centrālās statistikas pārvaldes informāciju (piemēram, Lursoft, Firmas.lv, u.tml). </w:t>
            </w:r>
            <w:r w:rsidR="00000000" w:rsidRPr="00000000" w:rsidDel="00000000">
              <w:rPr>
                <w:u w:val="single"/>
                <w:rtl w:val="0"/>
              </w:rPr>
              <w:t xml:space="preserve">Lūdzu sniegt skaidrojumu, kā dati statistikas vajadzībām tiks nodrošināti pēc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Kurme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03.09.2024.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