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23-TA-482: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civilo aizsardzību un katastrofu pārvaldīšanu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Saistībā ar Latvijas Republikas Saeimas Aizsardzības, iekšlietu un korupcijas novēršanas komisijas (turpmāk – Komisija) 2023. gada 25. janvāra vēstuli Nr. 142.1.9/6-5-14/23, kurā Komisija lūdz veikt noteiktas darbības Valsts kontroles atbilstības revīzijā “Vai valstī definētā rīcībpolitika civilās aizsardzības jomā var nodrošināt efektīvas civilās aizsardzības un katastrofu pārvaldīšanas sistēmas izveidi atbilstoši Eiropas Savienības līmenī atzītai labajai praksei un pieņemtajiem tiesību aktiem?” (Nr. 2.4.1-2/2021) (turpmāk - atbilstības revīzija Nr. 2.4.1-2/2021) konstatēto trūkumu novēršanai, Ministru kabinets informē par minētajiem jautājumiem.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Komisija aicina stiprināt civilās aizsardzības un katastrofu pārvaldīšanas sistēmas koordinējošo un uzraudzības funkciju, lai kontrolētu preventīvo un gatavības pasākumu pietiekamību un atbilstību reaģēšanai uz iespējamajiem apdraudējumiem.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Valsts kontrole atbilstības revīzijas Nr. 2.4.1-2/2021 ietvaros ir sniegusi ieteikumus – lai skaidri noteiktu civilās aizsardzības sistēmā un katastrofu pārvaldīšanā iesaistīto institūciju kompetences katastrofas pārvaldīšanas pasākumu koordinēšanā, vadīšanā un izpildē, novērstu dažādu katastrofu pārvaldīšanā un krīžu vadībā iesaistīto institūciju kompetenču pārklāšanos un lai katastrofas pārvaldīšanas subjektiem noteiktā kompetence katastrofu pārvaldīšanā būtu praktiski īstenojama, Iekšlietu ministrijai veikt izvērtējumu par iesaistīto institūciju atbildības sadalījumu, kompetenču pārklāšanos un to īstenošanas iespējām, un rosināt attiecīgus tiesību aktu grozījumus, kā arī – lai sekmētu civilās aizsardzības prasību ievērošanu un uzlabotu Valsts ugunsdzēsības un glābšanas dienesta uzdevumu izpildi civilās aizsardzības prasību kontroles jomā, Iekšlietu ministrijai izvērtēt, vai normatīvajos aktos nav nepieciešamas izmaiņas, kas paredzētu atbildību par civilās aizsardzības prasību neievērošanu.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izpildītu minēto, Iekšlietu ministrija ir paredzējusi izvērtēt civilās aizsardzības sistēmā un katastrofu pārvaldīšanā iesaistīto institūciju atbildības sadalījumu, kompetenču pārklāšanos, to īstenošanas iespējas un civilās aizsardzības sistēmas subjektu koordinējošo funkciju. Tiks sagatavoti attiecīgi grozījumi Civilās aizsardzības un katastrofas pārvaldīšanas likumā, tai skaitā par administratīvās atbildības civilās aizsardzības jomā noteikšanu.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Komisija aicina pārvērtēt Valsts civilās aizsardzības plānā noteiktos termiņus un saīsināt tos, kuru ieviešanai nav nepieciešams vairāku gadu periods.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24. panta sestā daļa noteic – katastrofas pārvaldīšanas subjekts reizi gadā līdz 20. janvārim izvērtē savas iespējas vajadzības gadījumā sniegt starptautisko palīdzību katastrofas skartai vai krīzes situācijā nonākušai valstij un iesniedz attiecīgo informāciju Iekšlietu ministrijai kopā ar informāciju par valsts civilās aizsardzības plāna izpildi un priekšlikumiem par valsts civilās aizsardzības plānā nepieciešamajiem grozījumiem. Savukārt, Civilās aizsardzības un katastrofas pārvaldīšanas likuma 16. panta otrā daļa noteic, ka Iekšlietu ministrija izvērtē valsts civilās aizsardzības plāna izpildi, katru gadu līdz 1. maijam iesniedz Ministru kabinetam attiecīgu informatīvo ziņojumu un, ja nepieciešams, valsts civilās aizsardzības plāna grozījumu projektu.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Iekšlietu ministrijas sadarbībā ar Valsts ugunsdzēsības un glābšanas dienestu (turpmāk – VUGD) izvērtēja ministriju iesniegtos priekšlikumus par Valsts civilās aizsardzības plānā nepieciešamajiem grozījumiem un šobrīd gatavo grozījumus Valsts civilās aizsardzības plānā, ņemot vērā arī Valsts kontroles atbilstības revīzijas Nr. 2.4.1-2/2021 ziņojumā ”Valsts civilās aizsardzības sistēmas plānošana un gatavība” norādītos trūkumus attiecībā uz Valsts civilās aizsardzības plānu. Grozījumu Valsts civilās aizsardzības plānā izstrādes gaitā tiek pārvērtēti arī katastrofu pārvaldīšanas pasākumu izpildes termiņi, pēc iespējas tos saīsinot un nosakot konkrētāk.</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Komisija aicina pārskatīt Valsts materiālo rezervju pilnveidošanas, uzglabāšanas, uzturēšanas un atjaunošanas principus, pilnveidojot pašvaldību vietu un lomu šajā sistēmā, kā arī pašvaldību tiesības uz valsts materiālo rezervju pieejamību katastrofu gadījumā.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 Iekšlietu ministrijas 2023. gada 2. janvāra rīkojumu Nr. 1-2/4 “Par darba grupu civilās aizsardzības sistēmas pilnveidošanai” ir izveidota darba grupa, kurai uzdots īstenot pasākumus civilās aizsardzības sistēmas pilnveidošanai, tostarp valsts materiālo rezervju sistēmas pilnveidošanai, vienlaikus ieviešot Valsts kontroles atbilstības revīzijas Nr. 2.4.1-2/2021 ziņojumā “Valsts civilās aizsardzības sistēmas plānošana un gatavība” sniegtos ieteikumus.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tam, VUGD īstenotā Eiropas Komisijas Civilās aizsardzības finanšu instrumenta programmas TRACK1 projekta “Valsts materiālo rezervju un nozares materiāltehnisko līdzekļu resursu veidošana un pārvaldīšana katastrofu pārvaldīšanas pasākumu īstenošanai un nozares apdraudējumu pārvarēšanai” (ECHO/SUB/2022/TRACK1/884407/LV) ietvaros paredzēts veikt izpēti par valsts materiālo rezervju un citu materiālo resursu, kas nepieciešami katastrofu pārvaldīšanas pasākumu īstenošanai un nozaru apdraudējumu pārvarēšanai, plānošanas, veidošanas un pārvaldīšanas sistēmu. Pētījuma gaitā paredzēts: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analizēt un salīdzināt Latvijas un citu Eiropas Ekonomikas zonas valstu (vismaz piecu valstu) normatīvos aktus un plānošanas dokumentus civilās aizsardzības, valsts materiālo rezervju un mobilizācijas jomā, kuri nosaka valsts materiālo rezervju un citu materiālo resursu plānošanu, veidošanu un pārvaldīšanu, tostarp attiecībā uz pašvaldību līdzdalību minētajos procesos;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veikt novērtējumu par esošās valsts materiālo rezervju un citu materiālo resursu plānošanas, veidošanas un pārvaldīšanas sistēmu Latvijā, tostarp mobilizācijas vajadzībām;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izvērtēt privātpersonu un citu valstu pieredzi un labo praksi, nodrošinot tiem katastrofu pārvaldīšanas pasākumu īstenošanai un citu apdraudējumu pārvarēšanai nepieciešamo materiālo resursu plānošanu, veidošanu un pārvaldīšanu;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4) izstrādāt priekšlikumus valsts materiālo rezervju un citu materiālo resursu plānošanas, veidošanas un pārvaldīšanas sistēmas pilnveidei, kas balstīti uz analizētās informācijas un izpētes rezultātiem, kā arī uz starptautisko labo praksi;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5) izstrādāt stratēģisku, sistemātisku un metodisku pieeju, kas balstīta uz riska novērtējumu, valsts materiālo rezervju un citu materiālo resursu plānošanai, veidošanai un pārvaldīšanai, nodrošinot noteiktos kritērijos balstītu šo materiālo resursu plānošanu, veidošanu un pārvaldīšanu.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2019. gada 18. jūnija noteikumos Nr. 268 “Valsts materiālo rezervju izmantošanas un pārbaudes kārtība” (turpmāk – Noteikumi Nr. 268) ir noteikta kārtība, kādā nodrošināma valsts materiālo rezervju izmantošana, tostarp regulējumā ir noteikta kārtība, kādā pieprasāmas izmantošanai valsts materiālās rezerves. Saskaņā ar Noteikumiem Nr. 268 pašvaldības institūcija var pieprasīt izmantošanai valsts materiālās rezerves Valsts materiālo rezervju likuma 3. panta pirmajā daļā noteikto pasākumu, izņemot humānās palīdzības sniegšanu, īstenošanai, tajā skaitā krīzes situāciju pārvarēšanas pasākumu īstenošanai, nosūtot pieprasījumu VUGD uz diennakts operatīvo e-pasta adresi ovp@vugd.gov.lv. Pēc pieprasījuma saņemšanas VUGD sazinās ar attiecīgo valsts materiālo rezervju glabātāju, lai noskaidrotu pieprasīto materiālo resursu esību un tās amatpersonas kontaktinformāciju, kura ir tiesīga lemt par atļauju izmantot valsts materiālās rezerves. Saņemot attiecīgo informāciju no VUGD, pašvaldības institūcijai ir jāiesniedz pieprasījums lēmuma pieņēmējam, norādot nepieciešamo materiālo resursu veidu, apjomu, izmantošanas mērķi, vietu un laikposmu. Kad saņemta atļauja izmantot valsts materiālās rezerves, institūcijas, kuras glabāšanā atrodas attiecīgās valsts materiālās rezerves, uzdevums ir tās izsniegt. Pēc valsts materiālo rezervju izmantošanas pašvaldības institūcijai jānodrošina to atdošana valsts materiālo rezervju glabātājam, kas izsniedza pieprasītās valsts materiālās rezerves, savukārt par valsts materiālo rezervju bojājumu, pilnīgu vai daļēju izlietošanu vai to nozaudēšanas gadījumā pašvaldības institūcijai rakstiski jāinformē attiecīgais valsts materiālo rezervju glabātājs. Atbilstoši Valsts materiālo rezervju likuma 4. panta otrās daļas 1. punkta b) apakšpunktā un 2. punkta e) apakšpunktā noteiktajam, attiecīgai nozares ministrijai vai tās noteiktai par valsts materiālo rezervju pārvaldīšanu atbildīgajai institūcijai (institūcijai, kuras uzskaitē ir attiecīgās valsts materiālās rezerves) ir pienākums nodrošināt izlietoto valsts materiālo rezervju norakstīšanu un atjaunināšanu attiecīgajam mērķim piešķirto finanšu līdzekļu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4. Komisija aicina Paredzēt valsts budžeta līdzekļu piešķiršanu nepieciešamo Valsts materiālo rezervju nodrošināšanai un informēt komisiju, kāds līdzekļu apjoms tiek plānots Iekšlietu ministrijai un Ekonomikas ministrijai funkciju izpildei.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Iekšlietu ministrijā izdevumi valsts materiālo rezervju iegādei un atjaunošanai tiek plānoti valsts budžeta apakšprogrammā 40.04.00 “Valsts materiālās rezerves”. Izdevumi  2019. gadā sastādīja 118 107 </w:t>
            </w:r>
            <w:r w:rsidR="00000000" w:rsidRPr="00000000" w:rsidDel="00000000">
              <w:rPr>
                <w:i w:val="1"/>
                <w:rtl w:val="0"/>
              </w:rPr>
              <w:t xml:space="preserve">euro</w:t>
            </w:r>
            <w:r w:rsidR="00000000" w:rsidRPr="00000000" w:rsidDel="00000000">
              <w:rPr>
                <w:rtl w:val="0"/>
              </w:rPr>
              <w:t xml:space="preserve">, 2020. gadā – 102 553 </w:t>
            </w:r>
            <w:r w:rsidR="00000000" w:rsidRPr="00000000" w:rsidDel="00000000">
              <w:rPr>
                <w:i w:val="1"/>
                <w:rtl w:val="0"/>
              </w:rPr>
              <w:t xml:space="preserve">euro</w:t>
            </w:r>
            <w:r w:rsidR="00000000" w:rsidRPr="00000000" w:rsidDel="00000000">
              <w:rPr>
                <w:rtl w:val="0"/>
              </w:rPr>
              <w:t xml:space="preserve">, 2021. gadā izdevumi netika veikti, 2022. gadā – 142 000 </w:t>
            </w:r>
            <w:r w:rsidR="00000000" w:rsidRPr="00000000" w:rsidDel="00000000">
              <w:rPr>
                <w:i w:val="1"/>
                <w:rtl w:val="0"/>
              </w:rPr>
              <w:t xml:space="preserve">euro </w:t>
            </w:r>
            <w:r w:rsidR="00000000" w:rsidRPr="00000000" w:rsidDel="00000000">
              <w:rPr>
                <w:rtl w:val="0"/>
              </w:rPr>
              <w:t xml:space="preserve">un  2023. gadā plānoti izdevumi 41 471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normatīvo aktu prasībām valsts materiālo rezervju jomā Iekšlietu ministrija katru gadu valsts budžeta likumprojekta izstrādes procesā ir sagatavojusi un virzījusi starpnozaru prioritārā pasākuma pieteikumu papildu nepieciešamā finansējuma saņemšanai valsts materiālo rezervju apjoma nodrošināšanai atbilstoši apstiprinātajai nomenklatūrai, tai skaitā 2023. – 2025. gadam tika virzīts starpnozaru prioritārā pasākuma pieteikums “Valsts materiālo rezervju iegāde, atjaunināšana un uzturēšana”, paredzot papildu finansējumu arī Satiksmes ministrijai, Tieslietu ministrijai un Veselības ministrijai 2023. gadā 2 896 522 </w:t>
            </w:r>
            <w:r w:rsidR="00000000" w:rsidRPr="00000000" w:rsidDel="00000000">
              <w:rPr>
                <w:i w:val="1"/>
                <w:rtl w:val="0"/>
              </w:rPr>
              <w:t xml:space="preserve">euro</w:t>
            </w:r>
            <w:r w:rsidR="00000000" w:rsidRPr="00000000" w:rsidDel="00000000">
              <w:rPr>
                <w:rtl w:val="0"/>
              </w:rPr>
              <w:t xml:space="preserve">, 2024. gadā 1 944 264 </w:t>
            </w:r>
            <w:r w:rsidR="00000000" w:rsidRPr="00000000" w:rsidDel="00000000">
              <w:rPr>
                <w:i w:val="1"/>
                <w:rtl w:val="0"/>
              </w:rPr>
              <w:t xml:space="preserve">euro</w:t>
            </w:r>
            <w:r w:rsidR="00000000" w:rsidRPr="00000000" w:rsidDel="00000000">
              <w:rPr>
                <w:rtl w:val="0"/>
              </w:rPr>
              <w:t xml:space="preserve">, 2025. gadā 1 494 813 </w:t>
            </w:r>
            <w:r w:rsidR="00000000" w:rsidRPr="00000000" w:rsidDel="00000000">
              <w:rPr>
                <w:i w:val="1"/>
                <w:rtl w:val="0"/>
              </w:rPr>
              <w:t xml:space="preserve">euro </w:t>
            </w:r>
            <w:r w:rsidR="00000000" w:rsidRPr="00000000" w:rsidDel="00000000">
              <w:rPr>
                <w:rtl w:val="0"/>
              </w:rPr>
              <w:t xml:space="preserve">un turpmākā laikposmā līdz pasākuma pabeigšanai (2027. gads) 908 090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 pieprasītais finansējums prioritārā pasākuma īstenošanai 2023.–2025. gada budžeta veidošanas procesā Ministru kabinetā netika atbalstīts.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Attiecībā uz rezervju veidošanu pirmās nepieciešamības rūpniecības precēm valsts apdraudējuma gadījumā norādām, ka atbilstoši Mobilizācijas likuma 9. panta 6.1 punktam Ministru kabinets izdod kārtību par iedzīvotāju nodrošināšanu ar pirmās nepieciešamības precēm valsts apdraudējuma gadījumā. Ministru kabineta 2015. gada 22. decembra noteikumi Nr. 755 “Noteikumi par iedzīvotāju nodrošināšanu ar pirmās nepieciešamības rūpniecības precēm valsts apdraudējuma gadījumā” noteica Ekonomikas ministrijas pienākumu plānot finansējumu pirmās nepieciešamības rūpniecības preču iegādei un  veikt iepirkumu par atlikto piegāžu līgumu noslēgšanu vai plānot finanses preču iegādei valsts materiālajās rezervēs.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Atbilstoši Ministru kabineta 2005. gada 26. jūlija noteikumu Nr. 547 “Noteikumi par atliktajām piegādēm” 5.punktam atliktās piegādes plāno,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izveidotas valsts materiālās rezerves vai nav ekonomiski lietderīgi tās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tautsaimniecība nevar nodrošināt NBS, valsts civilās aizsardzības sistēmu, kā arī tautsaimniecībai svarīgus objektus un iedzīvotājus ar nepieciešamajiem materiālajiem resursiem un pakalpojumiem.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Izvērtējot piegāžu ķēžu drošības riskus Ekonomikas ministrija pieņēma lēmumu 2023. gada budžetam un 2023.-2025. gada budžeta ietvaram virzīt priekšlikumu par finansējuma piešķīrumu pirmās nepieciešamības rūpniecības preču iegādei valsts materiālajās rezervēs. Šādu pieeju atbalstīja arī Aizsardzības ministrija. Ekonomikas ministrija sagatavoja priekšlikumu valsts budžeta prioritārajam pasākumam - Iedzīvotāju nodrošināšana ar pirmās nepieciešamības rūpniecības precēm valsts apdraudējumu gadījumā. Finansējumu paredzēts izlietot iedzīvotāju nodrošināšanai ar Ministru kabineta noteikumos Nr. 755 noteiktajām pirmās nepieciešamības rūpniecības precēm. Vadoties pēc NATO standartiem, pirmajā gadā paredzēts iegādāties preces iedzīvotāju skaitam, kas atbilst 2% no kopējā valsts iedzīvotāju skaita (pieņemot, ka Latvijas teritorijā atrodas 2 000 000 iedzīvotāju). 2024. un 2025. gadā paredzēts papildus iegādāties preces vēl 2% no Latvijas iedzīvotāju skaita katrā gadā, tādejādi 2025. gadā sasniedzot 6% no iedzīvotāju skaita (120 000 iedzīvotāju). Preces ir paredzētas trīs mēnešu periodam. Preču iegādei pieprasītais finansējums 2023.-2025. gadā – 12 445 960 </w:t>
            </w:r>
            <w:r w:rsidR="00000000" w:rsidRPr="00000000" w:rsidDel="00000000">
              <w:rPr>
                <w:i w:val="1"/>
                <w:rtl w:val="0"/>
              </w:rPr>
              <w:t xml:space="preserve">euro </w:t>
            </w:r>
            <w:r w:rsidR="00000000" w:rsidRPr="00000000" w:rsidDel="00000000">
              <w:rPr>
                <w:rtl w:val="0"/>
              </w:rPr>
              <w:t xml:space="preserve">katru gadu. Papildus ik gadu, sākot ar 2026. gadu, nepieciešams finansējums 1 244 596 </w:t>
            </w:r>
            <w:r w:rsidR="00000000" w:rsidRPr="00000000" w:rsidDel="00000000">
              <w:rPr>
                <w:i w:val="1"/>
                <w:rtl w:val="0"/>
              </w:rPr>
              <w:t xml:space="preserve">euro </w:t>
            </w:r>
            <w:r w:rsidR="00000000" w:rsidRPr="00000000" w:rsidDel="00000000">
              <w:rPr>
                <w:rtl w:val="0"/>
              </w:rPr>
              <w:t xml:space="preserve">apmērā, lai atjaunoto preču rezerves, tostarp aizstātu preces, kurām ir beidzies vai tuvojas beigām derīguma termiņš.</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Tiek paredzēts, ka Ekonomikas ministrija nodrošinās centralizētu pirmās nepieciešamības rūpniecības preču iegādi, bet rezervju glabāšanu un izsniegšanu iedzīvotājiem nodrošinās pašvaldības, tādējādi tiks nodrošināts, ka rezervju uzglabāšana netiek koncentrēta vienā vietā. Tiek izvērtēta iespēja preču iegādi un loģistiku uzticēt valsts kapitālsabiedrībai.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2023. gada 13. janvāra Ministru kabineta sēdē tika izskatīts Finanšu ministrijas sagatavotais “Informatīvais ziņojums “Par priekšlikumiem valsts budžeta prioritārajiem pasākumiem 2023.gadam un budžeta ietvaram 2023.- 2025.””. Ministru kabinets atbalstīja finansējumu pirmās nepieciešamības preču iepirkumam kā vienreizēju pasākumu (ārpus fiskālās telpas, tiks plānots 74. resorā un pārdalīts pēc Ministru kabineta un SBFNK lēmuma), attiecīgi 2023. gadā – 6 222 980 </w:t>
            </w:r>
            <w:r w:rsidR="00000000" w:rsidRPr="00000000" w:rsidDel="00000000">
              <w:rPr>
                <w:i w:val="1"/>
                <w:rtl w:val="0"/>
              </w:rPr>
              <w:t xml:space="preserve">euro</w:t>
            </w:r>
            <w:r w:rsidR="00000000" w:rsidRPr="00000000" w:rsidDel="00000000">
              <w:rPr>
                <w:rtl w:val="0"/>
              </w:rPr>
              <w:t xml:space="preserve">, 2024. un 2025. gadā – 12 445 960 </w:t>
            </w:r>
            <w:r w:rsidR="00000000" w:rsidRPr="00000000" w:rsidDel="00000000">
              <w:rPr>
                <w:i w:val="1"/>
                <w:rtl w:val="0"/>
              </w:rPr>
              <w:t xml:space="preserve">euro </w:t>
            </w:r>
            <w:r w:rsidR="00000000" w:rsidRPr="00000000" w:rsidDel="00000000">
              <w:rPr>
                <w:rtl w:val="0"/>
              </w:rPr>
              <w:t xml:space="preserve">katrā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Ministru Kabineta vēstules projekts lūdzam svītrot no tā  vēstules projekta 4. punkta 3. un 4.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23-TA-482</w:t>
    </w:r>
    <w:r>
      <w:br/>
    </w:r>
    <w:r w:rsidR="00000000" w:rsidRPr="00000000" w:rsidDel="00000000">
      <w:rPr>
        <w:rtl w:val="0"/>
      </w:rPr>
      <w:t xml:space="preserve">Izdrukāts 28.02.2023.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23-TA-482</w:t>
    </w:r>
    <w:r>
      <w:br/>
    </w:r>
    <w:r w:rsidR="00000000" w:rsidRPr="00000000" w:rsidDel="00000000">
      <w:rPr>
        <w:rtl w:val="0"/>
      </w:rPr>
      <w:t xml:space="preserve">Izdrukāts 28.02.2023.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Atzinumi_23-TA-482.docx</dc:title>
</cp:coreProperties>
</file>

<file path=docProps/custom.xml><?xml version="1.0" encoding="utf-8"?>
<Properties xmlns="http://schemas.openxmlformats.org/officeDocument/2006/custom-properties" xmlns:vt="http://schemas.openxmlformats.org/officeDocument/2006/docPropsVTypes"/>
</file>