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par apsvērumiem, kādēļ izmantota Komisijas 2022. gada 14. decembra Regulas 2022/2473, ar kuru, piemērojot Līguma par Eiropas Savienības darbību 107. un 108. pantu, dažu kategoriju atbalstu uzņēmumiem, kas nodarbojas ar zvejas un akvakultūras produktu ražošanu, apstrādi un tirdzniecību, atzīst par saderīgu ar iekšējo tirgu (turpmāk - regula Nr. 2022/2473), 53. panta 5. punktā paredzēta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īpašnieks vai lietotājs nodrošina ne mazāk kā vienu atbilstošu aizsardzības pasākumu, lai novērstu postījumus akvakultūrai: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vēršam uzmanību, ka no noteikumu projekta un tā anotācijas neizriet, vai ir piemērojams regulā paredzētais izņēmums, ja pasākumi ir pamatoti neiespējami, tādēļ lūdzam izvērtēt un precizēt grozīto Ministru kabineta noteikumu 9. punktu, nodrošinot, ka konkrētie pasākumi nav absolūti.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attaisnotajos izdevumos iekļauj pievienotās vērtības nodokli, ja tas nav atgūstams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nedublējot regulas Nr. 2022/2473 7. panta 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attaisnotajos izdevumos iekļauj pievienotās vērtības nodokli, ievērojot regulas Nr. 2022/2473 7. panta 1. punktā paredzēto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attaisnotajos izdevumos iekļauj izdevumus atbilstoši Komisijas regulas 2022/2473 53.panta 5.apakšpunktam.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(nepieciešamības gadījumā - piemērveidā) norādīt, kādi izdevumi ir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11.09.2025.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11.09.2025.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Atzinumi_25-TA-1650.docx</dc:title>
</cp:coreProperties>
</file>

<file path=docProps/custom.xml><?xml version="1.0" encoding="utf-8"?>
<Properties xmlns="http://schemas.openxmlformats.org/officeDocument/2006/custom-properties" xmlns:vt="http://schemas.openxmlformats.org/officeDocument/2006/docPropsVTypes"/>
</file>