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23-TA-1066: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13. septembra noteikumos Nr. 703 "Noteikumi par atkritumu apsaimniekošanas atļaujas izsniegšanas un anulēšanas kārtību, atkritumu tirgotāju un atkritumu apsaimniekošanas starpnieku reģistrācijas un informācijas sniegšanas kārtību, kā arī par valsts nodevu un tās maksāšanas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norādīts, ka "nav veikta nodevu par atkritumu apsaimniekošanas atļauju pārskatīšana kopš 2011. gada. Esošie nodevu apmēri nav samērojami ar </w:t>
            </w:r>
            <w:r w:rsidR="00000000" w:rsidRPr="00000000" w:rsidDel="00000000">
              <w:rPr>
                <w:u w:val="single"/>
                <w:rtl w:val="0"/>
              </w:rPr>
              <w:t xml:space="preserve">šī brīža dokumentācijas sagatavošanas izmaksām</w:t>
            </w:r>
            <w:r w:rsidR="00000000" w:rsidRPr="00000000" w:rsidDel="00000000">
              <w:rPr>
                <w:rtl w:val="0"/>
              </w:rPr>
              <w:t xml:space="preserve">. Tāpat minētajā anotācijas sadaļā norādīts, ka "</w:t>
            </w:r>
            <w:r w:rsidR="00000000" w:rsidRPr="00000000" w:rsidDel="00000000">
              <w:rPr>
                <w:i w:val="1"/>
                <w:rtl w:val="0"/>
              </w:rPr>
              <w:t xml:space="preserve">Saskaņā ar likumu "Par nodokļiem un nodevām” valsts nodeva ir obligāts maksājums valsts budžetā kā atlīdzība par nodrošinājumu, ko valsts institūcijas devušas saimnieciskajai darbībai, vai par sniegtajiem pakalpojumiem kā arī likumos paredzētiem speciāliem mērķiem.</w:t>
            </w:r>
            <w:r w:rsidR="00000000" w:rsidRPr="00000000" w:rsidDel="00000000">
              <w:rPr>
                <w:rtl w:val="0"/>
              </w:rPr>
              <w:t xml:space="preserve">", kā rezultātā konstatēta nepieciešamība pārskatīt valsts nodevu apmēru par atkritumu apsaimniekošanas atļauju izsniegšanu, grozīšanu.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 "Par nodokļiem un nodevām" 1. panta 2. punktā noteiktajam valsts nodeva ir obligāts maksājums valsts budžetā vai šajā likumā noteiktajos gadījumos pašvaldības budžetā </w:t>
            </w:r>
            <w:r w:rsidR="00000000" w:rsidRPr="00000000" w:rsidDel="00000000">
              <w:rPr>
                <w:b w:val="1"/>
                <w:rtl w:val="0"/>
              </w:rPr>
              <w:t xml:space="preserve">par valsts vai pašvaldības institūcijas veicamo darbību, kas izriet no šīs institūcijas funkcijām. Valsts nodevas mērķis ir personu darbību regulēšana (kontrolēšana, veicināšana, ierobežošana)</w:t>
            </w:r>
            <w:r w:rsidR="00000000" w:rsidRPr="00000000" w:rsidDel="00000000">
              <w:rPr>
                <w:rtl w:val="0"/>
              </w:rPr>
              <w:t xml:space="preserve">. Jāuzsver, ka v</w:t>
            </w:r>
            <w:r w:rsidR="00000000" w:rsidRPr="00000000" w:rsidDel="00000000">
              <w:rPr>
                <w:b w:val="1"/>
                <w:rtl w:val="0"/>
              </w:rPr>
              <w:t xml:space="preserve">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nodevas paaugstināšana par atkritumu apsaimniekošanas atļaujas izsniegšanu, grozīšanu nevar būt tiešā veidā saistāma ar dokumentācijas sagatavošanas izmaksām, kā arī valsts nodeva nav obligāts maksājums valsts budžetā kā atlīdzība par nodrošinājumu, ko valsts institūcijas devušas saimnieciskajai darbībai, tādēļ aicinām precizēt anotācijas 1.3.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anotācijas sadaļas "Risinājuma apraksts" 15. punktā precizējama norāde - "</w:t>
            </w:r>
            <w:r w:rsidR="00000000" w:rsidRPr="00000000" w:rsidDel="00000000">
              <w:rPr>
                <w:u w:val="single"/>
                <w:rtl w:val="0"/>
              </w:rPr>
              <w:t xml:space="preserve">līdz šā gada oktobrim</w:t>
            </w:r>
            <w:r w:rsidR="00000000" w:rsidRPr="00000000" w:rsidDel="00000000">
              <w:rPr>
                <w:rtl w:val="0"/>
              </w:rPr>
              <w:t xml:space="preserve">  ir izsniegta 31 atļauja".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"Risinājuma apraksts" lūdzam pārskatīt un precizēt tekstu </w:t>
            </w:r>
            <w:r w:rsidR="00000000" w:rsidRPr="00000000" w:rsidDel="00000000">
              <w:rPr>
                <w:i w:val="1"/>
                <w:rtl w:val="0"/>
              </w:rPr>
              <w:t xml:space="preserve">"Tiek </w:t>
            </w:r>
            <w:r w:rsidR="00000000" w:rsidRPr="00000000" w:rsidDel="00000000">
              <w:rPr>
                <w:i w:val="1"/>
                <w:u w:val="single"/>
                <w:rtl w:val="0"/>
              </w:rPr>
              <w:t xml:space="preserve">paaugstināts </w:t>
            </w:r>
            <w:r w:rsidR="00000000" w:rsidRPr="00000000" w:rsidDel="00000000">
              <w:rPr>
                <w:i w:val="1"/>
                <w:rtl w:val="0"/>
              </w:rPr>
              <w:t xml:space="preserve">esošs </w:t>
            </w:r>
            <w:r w:rsidR="00000000" w:rsidRPr="00000000" w:rsidDel="00000000">
              <w:rPr>
                <w:i w:val="1"/>
                <w:u w:val="single"/>
                <w:rtl w:val="0"/>
              </w:rPr>
              <w:t xml:space="preserve">nodevas objekts</w:t>
            </w:r>
            <w:r w:rsidR="00000000" w:rsidRPr="00000000" w:rsidDel="00000000">
              <w:rPr>
                <w:i w:val="1"/>
                <w:rtl w:val="0"/>
              </w:rPr>
              <w:t xml:space="preserve"> (..)", </w:t>
            </w:r>
            <w:r w:rsidR="00000000" w:rsidRPr="00000000" w:rsidDel="00000000">
              <w:rPr>
                <w:rtl w:val="0"/>
              </w:rPr>
              <w:t xml:space="preserve">sk. piem. 15., 17.punktu.</w:t>
            </w:r>
            <w:r w:rsidR="00000000" w:rsidRPr="00000000" w:rsidDel="00000000">
              <w:rPr>
                <w:i w:val="1"/>
                <w:rtl w:val="0"/>
              </w:rPr>
              <w:t xml:space="preserve"> </w:t>
            </w:r>
            <w:r w:rsidR="00000000" w:rsidRPr="00000000" w:rsidDel="00000000">
              <w:rPr>
                <w:rtl w:val="0"/>
              </w:rPr>
              <w:t xml:space="preserve">Norādām, ka ar noteikumu projektu plānots paaugstināt esošos valsts nodevu apmēru, nevis  objektu.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ir 2025.gads, lūdzam precizēt anotācijas 3.sadaļā un anotācijas pielikumā norādītos gadus, proti, kā kārtējo gadu norādot 2025.gadu.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23.01.2025.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23-TA-1066</w:t>
    </w:r>
    <w:r>
      <w:br/>
    </w:r>
    <w:r w:rsidR="00000000" w:rsidRPr="00000000" w:rsidDel="00000000">
      <w:rPr>
        <w:rtl w:val="0"/>
      </w:rPr>
      <w:t xml:space="preserve">Izdrukāts 23.01.2025.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Atzinumi_23-TA-1066.docx</dc:title>
</cp:coreProperties>
</file>

<file path=docProps/custom.xml><?xml version="1.0" encoding="utf-8"?>
<Properties xmlns="http://schemas.openxmlformats.org/officeDocument/2006/custom-properties" xmlns:vt="http://schemas.openxmlformats.org/officeDocument/2006/docPropsVTypes"/>
</file>