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25-TA-1788: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407 "Eiropas Savienības kohēzijas politikas programmas 2021.–2027. gadam 1.1.1. specifiskā atbalsta mērķa "Pētniecības un inovāciju kapacitātes stiprināšana un progresīvu tehnoloģiju ieviešana kopējā P&amp;A sistēmā" 1.1.1.3. pasākuma "Praktiskas ievirzes pētījumi"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iekļauto informāciju atbilstoši noteikumu projektā paredzētajam, t.i., sniedzot informāciju nevis par 1.1.1.3. pasākuma "Praktiskas ievirzes pētījumi" īstenošanas noteikumi"" kopējo izdevumu sadalījumu pa gadiem un finansējuma avotiem, bet gan par veiktajiem grozījumiem šī pasākuma finansējuma sadalījumā pa gadiem un finansējuma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šīs anotācijas sadaļas apakšsadaļā "Cita informācija" lūdzam sniegt skaidrojumu par 1.1.1.3. pasākuma "Praktiskas ievirzes pētījumi" īstenošanas noteikumi"" kopējā finansējuma palielinājuma avotu 2 602 468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 (Elīna Remeiķe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š.g. 28.augusta paredzēto AK ietvaros jau sniegto viedokli ar Finanšu ministriju (FM)  un Ekonomikas ministriju (EM) iebildumiem par augstu demarkācijas risku ar EM pārziņā esošo 1.2.1.1. pasākuma “Atbalsts jaunu produktu attīstībai un internacionalizācijai” 3.kārtu, ka arī īpaši ņemot vērā to, ka gan IZM, gan EM atbalsta programmu projektu iesniegumu atlašu uzsaukumus plānots sludināt vienā laikā (2025.gada III -IV ceturksnis), lūdzam IZM no MK nosacījumu grozījumu projekta svītrot visas normas, kas attiecas uz pētījumu projektiem duālā pielietojuma un drošības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iesnieguma vērtēšanas kritēriju piemērošanas metodikā (2025.08.28. 1AK sēde (IZM_1113_2k_1121) - ES fondi) norādīts, ka kvalitātes kritēriju Nr.4.5. "Projektā paredzēta jauna vai būtiski uzlabota produkta vai tehnoloģijas izstrāde aizsardzības jomā vai sabiedrības drošības vai  noturības jomā" vērtē Aizsardzības ministrija un Iekšlietu ministrija, kaut gan Iekšlietu ministrijas iesaiste nav atzīmēta MKN projektā.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šo noteikumu </w:t>
            </w:r>
            <w:r w:rsidR="00000000" w:rsidRPr="00000000" w:rsidDel="00000000">
              <w:rPr>
                <w:rtl w:val="0"/>
              </w:rPr>
              <w:t xml:space="preserve">23.2.1.</w:t>
            </w:r>
            <w:r w:rsidR="00000000" w:rsidRPr="00000000" w:rsidDel="00000000">
              <w:rPr>
                <w:rtl w:val="0"/>
              </w:rPr>
              <w:t xml:space="preserve"> apakšpunktā</w:t>
            </w:r>
            <w:r w:rsidR="00000000" w:rsidRPr="00000000" w:rsidDel="00000000">
              <w:rPr>
                <w:rtl w:val="0"/>
              </w:rPr>
              <w:t xml:space="preserve"> minētajā gadījumā – šo noteikumu </w:t>
            </w:r>
            <w:r w:rsidR="00000000" w:rsidRPr="00000000" w:rsidDel="00000000">
              <w:rPr>
                <w:rtl w:val="0"/>
              </w:rPr>
              <w:t xml:space="preserve">29.</w:t>
            </w:r>
            <w:r w:rsidR="00000000" w:rsidRPr="00000000" w:rsidDel="00000000">
              <w:rPr>
                <w:rtl w:val="0"/>
              </w:rPr>
              <w:t xml:space="preserve"> punktā</w:t>
            </w:r>
            <w:r w:rsidR="00000000" w:rsidRPr="00000000" w:rsidDel="00000000">
              <w:rPr>
                <w:rtl w:val="0"/>
              </w:rPr>
              <w:t xml:space="preserve"> minētā līguma ar drošu elektronisko parakstu parakstītu vai apliecinātu kopiju par līgumpētījuma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saimniecisko darbību saistītam projektam ir jāievēro stimulējošās ietekmes prasības atbilstoši MKN 41.2.apakšpunktam, nav pareiza prasība kopā ar projekta iesniegumu jau iesniegt līgumu par līgumpētījumu, jo šādu līgumu drīkst slēgt tikai pēc projekta iesnieguma iesniegšanas CFLA, lai netiktu pārkāptas stimulējošās ietekmes prasības. Līdz ar to nepieciešams atcelt šajā apakšpunktā minēto prasību.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šo noteikumu </w:t>
            </w:r>
            <w:r w:rsidR="00000000" w:rsidRPr="00000000" w:rsidDel="00000000">
              <w:rPr>
                <w:rtl w:val="0"/>
              </w:rPr>
              <w:t xml:space="preserve">32.1.</w:t>
            </w:r>
            <w:r w:rsidR="00000000" w:rsidRPr="00000000" w:rsidDel="00000000">
              <w:rPr>
                <w:rtl w:val="0"/>
              </w:rPr>
              <w:t xml:space="preserve"> apakšpunktā</w:t>
            </w:r>
            <w:r w:rsidR="00000000" w:rsidRPr="00000000" w:rsidDel="00000000">
              <w:rPr>
                <w:rtl w:val="0"/>
              </w:rPr>
              <w:t xml:space="preserve"> minētā darbība veikta, sākot ar konkrētās atklātās projektu iesniegumu atlases kārtas izsludināšanas dienu;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25. jūnija noteikumu Nr. 407 "Eiropas Savienības kohēzijas politikas programmas 2021.–2027. gadam 1.1.1. specifiskā atbalsta mērķa "Pētniecības un inovāciju kapacitātes stiprināšana un progresīvu tehnoloģiju ieviešana kopējā P&amp;A sistēmā" 1.1.1.3. pasākuma "Praktiskas ievirzes pētījumi" īstenošanas noteikumi" (turpmāk – MKN Nr. 407) 3.punkts paredz, ka publisko finansējumu ar saimniecisku darbību saistītu projektu īstenošanai piešķir saskaņā ar vienu no šiem regulējumiem: Komisijas regulu Nr. 651/2014 un Komisijas regulu Nr. 2023/2831 (de minimis atbalsts). Lūdzam pārskatīt visas attiecīgās noteikumu normas, piemēram, MKN Nr. 407 31.5., 36., 37.1., 41.2. u.c. punktus, lai skaidrs, kuras normas attiecas uz atbalstu ar Komisijas regulu Nr. 651/2014 un kuras uz de minimis atbalstu. Vienlaikus anotācijā ir iekļauta informācija, ka, lai nodrošinātu elastīgāku pieeju publiskā finansējuma piešķiršanai ar saimniecisku darbību saistītu projektu īstenošanai, noteikumi tiek papildināti ar iespēju publisko finansējumu piešķirt arī saskaņā ar de minimis regulējumu, jo de minimis regulējuma izmantošanai ir vairāki ieguvumi, piemēram, nav jāvērtē stimulējošās ietekmes nosacījumi – t.i., var attiecināt izmaksas, kas radušās pirms projekta iesnieguma iesniegšanas. Vēršam uzmanību, ka noteikumu MKN Nr. 407 37.1.punktā minētā norma ir jāievēro gadījumos, kad atbalstu piešķir ar Komisijas regulu Nr. Nr.2023/2831, līdz ar to lūdzam papildināt 37.1.punktu ar atrunu, piemēram, šādā redakcijā: "ja īsteno ar saimniecisku darbību nesaistītu projektu vai šo noteikumu 3.2.apakšpunktā noteiktajā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Ja atbalsts sniegts saskaņā ar Komisijas regulu Nr.  </w:t>
            </w:r>
            <w:r w:rsidR="00000000" w:rsidRPr="00000000" w:rsidDel="00000000">
              <w:rPr>
                <w:rtl w:val="0"/>
              </w:rPr>
              <w:t xml:space="preserve">651/2014</w:t>
            </w:r>
            <w:r w:rsidR="00000000" w:rsidRPr="00000000" w:rsidDel="00000000">
              <w:rPr>
                <w:rtl w:val="0"/>
              </w:rPr>
              <w:t xml:space="preserve">, atbalsta sniedzējs nodrošina informācijas pieejamību 10 gadus, skaitot no dienas, kad piešķirts pēdējais atbalsts saskaņā ar atbalsta shēmu. Finansējuma saņēmējs un tā sadarbības partneri nodrošina informācijas pieejamību 10 gadus, skaitot no atbalsta piešķiršanas dienas, atbilstoši Komisijas regulas Nr.  </w:t>
            </w:r>
            <w:r w:rsidR="00000000" w:rsidRPr="00000000" w:rsidDel="00000000">
              <w:rPr>
                <w:rtl w:val="0"/>
              </w:rPr>
              <w:t xml:space="preserve">651/2014</w:t>
            </w:r>
            <w:r w:rsidR="00000000" w:rsidRPr="00000000" w:rsidDel="00000000">
              <w:rPr>
                <w:rtl w:val="0"/>
              </w:rPr>
              <w:t xml:space="preserve"> 12. panta 1.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papildināti arī iespēju atbalstu saņemt ar Komisijas regulu Nr. 2023/2831, lūdzam papildināt noteikumus ar normu, kas ietver dokumentu glabāšanas nosacījumus atbalsta sniedzējam, finansējuma saņēmējs un tā sadarbības partneriem arī uz šo gadījumu.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sadaļā "Finansējuma apjoms un pieejamība" aktualizēt informāciju par 1.1.1.7. pasākuma projektu iesniegumu vērtēšanu, kas plānota līdz 2025. gada 6. augustam, ņemot vēra to, ka 6.augusts jau ir pagājis.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kā izstrādātie grozījumi ietekmē finansējuma saņēmēju un vai līgumā vai vienošanās par projekta īstenošanu ir nepieciešams veikt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izmaiņas finansējuma apjomā pasākuma 1. un 2. kārtā, lūdzam papildināt noteikumu projekta anotāciju ar informāciju par pasākuma 1. un 2 .kārtas finansējuma dalījumu pa visām intervences kategorijām (Intervences laukums, Finansējuma veids, Teritoriālie sasniegšanas mehānismi, ESF+ sekundārās tēmas un Dzimumu līdztiesība), norādot intervences kodus un tam piemērojamo pasākuma fondu finansējuma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sadarbībā ar Centrālo finanšu un līgumu aģentūru nodrošināt  Eiropas Savienības kohēzijas politikas programmas 2021.-2027. gadam 1.1.1. specifiskā atbalsta mērķa "Pētniecības un inovāciju kapacitātes stiprināšana un progresīvu tehnoloģiju ieviešana kopējā P&amp;A sistēmā" 1.1.1.3. pasākuma "Praktiskas ievirzes pētījumi" (turpmāk – 1.1.1.3.pasākums)  otrās projektu iesniegumu atlases kārtas izsludināšanu par plānoto finansējumu (tai skaitā par 1.1.1.3. pasākuma un 1.1.1.7.pasākuma elastības finansējumu) pirms ir saņemts pozitīvs Eiropas Komisijas lēmums grozījumiem Eiropas Savienības kohēzijas politikas programmā 2021.–2027. gadam, tai skaitā par elastības finansējuma pieejamību un pieņemt lēmumu par vienošanās vai līgumu slēgšanu par 1.1.1.3.pasākuma otrās projektu iesniegumu atlases kārtas  projektu īstenošanu ar finansējuma saņēmējiem par elastības finansējuma pēc Eiropas Komisijas lēmuma par elastības finansējuma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3. punkts paredz rīcību, pirms ir saņemts pozitīvs Eiropas Komisijas lēmums grozījumiem Eiropas Savienības kohēzijas politikas programmā 2021.–2027. gadam, tai skaitā par elastības finansējuma pieejamību un pēc Eiropas Komisijas lēmuma par elastības finansējuma pieejamību, taču Ministru kabineta sēdes protokollēmumā nav paredzēta rīcība gadījumā, ja nav saņemts pozitīvs Eiropas Komisijas lēmums, līdz ar to lūdzam papildināt Ministru kabineta sēdes protokollēmumu ar punktu, kas paredz rīcību gadījumā, ja nav saņemts pozitīvs Eiropas Komisijas lēmums grozījumiem Eiropas Savienības kohēzijas politikas programmā 2021.–2027. gadam, tai skaitā par elastības finansējuma pieejamību.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1.1.1.7. pasākuma pieejamā finansējuma atlikumi, kas radīsies pēc projektu iesniegumu atlases noslēguma, tiks novirzīti 1.1.1.3. pasākuma otrās projekta iesniegumu atlases kārtas īstenošanai, nepagarinot 1.1.1.3. pasākuma otrās projektu iesniegumu atlases kārtas atlases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anotācijas sadaļā 'Risinājuma apraksts' minēto, ka </w:t>
            </w:r>
            <w:r w:rsidR="00000000" w:rsidRPr="00000000" w:rsidDel="00000000">
              <w:rPr>
                <w:i w:val="1"/>
                <w:rtl w:val="0"/>
              </w:rPr>
              <w:t xml:space="preserve">1.1.1.7. pasākuma pieejamā finansējuma atlikums tiks novirzīts ar saimniecisku darbību saistītu pētniecības pieteikumu finansēšanai</w:t>
            </w:r>
            <w:r w:rsidR="00000000" w:rsidRPr="00000000" w:rsidDel="00000000">
              <w:rPr>
                <w:rtl w:val="0"/>
              </w:rPr>
              <w:t xml:space="preserve">, aicinām ar šādu piebildi papildināt šo protokollēmuma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 pētniecības organizācijas, kas piedalās kopīgos pētniecības projektos, – 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rādītāja RCO 07 vērtība nesakrīt ar kopsavilkumā par projekta iesnieguma vērtēšanas kritērijiem norādīto (2025.08.28. 1AK sēde (IZM_1113_2k_1121) - ES fondi) . Lūdzam salāgot rādītāja vērtības.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7.2.2. uzņēmumi, kas sadarbojas ar pētniecības organizācijām, – 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rādītāja RCO 10 vērtība nesakrīt ar kopsavilkumā par projekta iesnieguma vērtēšanas kritērijiem norādīto (2025.08.28. 1AK sēde (IZM_1113_2k_1121) - ES fondi) . Lūdzam salāgot rādītāja vērtības.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rezultāta rādītājs līdz 2029. gada 31. decembrim – publisko atbalstu papildinošās privātās investīcijas – 16 119 840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rādītāja RCR 02 vērtība nesakrīt ar kopsavilkumā par projekta iesnieguma vērtēšanas kritērijiem norādīto (2025.08.28. 1AK sēde (IZM_1113_2k_1121) - ES fondi) . Lūdzam salāgot rādītāja vērtības.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Otrās projektu iesniegumu atlases kārtas īstenošanai pieejamo kopējo finansējumu plāno ne vairāk kā 25 915 925 euro apmērā (no tā elastības finansējums – 9 189 077 euro), tai skaitā Eiropas Reģionālās attīstības fonda finansējumu – 21 191 228 euro apmērā (no tā elastības finansējums – 7 810 716 euro), valsts budžeta līdzfinansējumu –  4 724 697 euro apmērā (no tā elastības finansējums – 1 378 361 euro),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Norādītais finansējums neatbilst FM rīcībā esošajai informācijai, kas no IZM puses iepriekš sniegta par Programmas grozījumiem (IZM epasts 11.03.2025.), proti, otrās projektu iesniegumu atlases kārtas īstenošanai pieejamo kopējo finansējumu plāno ne vairāk kā 21 760 000 euro apmērā (no tā elastības finansējums – 6 586 609 euro), tai skaitā ERAF finansējumu – 17 476 000  euro apmērā (no tā elastības finansējums – 5 59 8 618 euro), valsts budžeta līdzfinansējumu –  4 284 000 euro apmērā (no tā elastības finansējums – 987 991 euro). Lūgums atsūtīt aktuālos Programmas grozījumus par pasākuma 1.1.1.3.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vismaz divu neatkarīgu pušu sadarbības projekts, ja pētniecības organizācija iesaistās efektīvā sadarbībā un ja ir izpildīts viens no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attiecīgo punktu atbilstoši sākotnējai redakcijai, kas noteica, ka ar saimniecisko darbību nesaistīta sadarbības projekta gadījumā jānodrošina atbilstība visiem turpmāk minētajiem apakšpunktiem. Šāda pieeja nodrošinās juridisku skaidrību un konsekventu prasību piemērošanu visiem sadarbības projektiem ar nesaimniecisku raksturu, kā arī palīdzēs novērst situācijas, kurās pētniecības organizācija sadarbības līgumā paredz intelektuālā īpašuma pilnu nodošanu komersantam, tādējādi formāli izpildot tikai 22.2.3. apakšpunktā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Finansējuma saņēmējs projekta iesniegumā pamato sagaidāmo šo noteikumu </w:t>
            </w:r>
            <w:r w:rsidR="00000000" w:rsidRPr="00000000" w:rsidDel="00000000">
              <w:rPr>
                <w:rtl w:val="0"/>
              </w:rPr>
              <w:t xml:space="preserve">7.4.</w:t>
            </w:r>
            <w:r w:rsidR="00000000" w:rsidRPr="00000000" w:rsidDel="00000000">
              <w:rPr>
                <w:rtl w:val="0"/>
              </w:rPr>
              <w:t xml:space="preserve"> apakšpunktā</w:t>
            </w:r>
            <w:r w:rsidR="00000000" w:rsidRPr="00000000" w:rsidDel="00000000">
              <w:rPr>
                <w:rtl w:val="0"/>
              </w:rPr>
              <w:t xml:space="preserve"> minēto nacionālo rādītāju ilgtspēju projekta īstenošanas laikā un vismaz piecus gadus pēc noslēguma maksājuma saņemšanas atbilstoši vienam vai vairākiem šādiem ieguldījumiem inovācijas sistēmas kapacitātes palielināšanā: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noteikto piecu gadu ilgtspējas termiņu, ņemot vērā, ka projekta pēcuzraudzības periods ir noteikts divi gadi pēc tā īstenošanas beigām. Piecu gadu prasība nav samērīga, jo pēc uzraudzības perioda nav paredzēta rādītāju uzraudzība vai datu uzkrāšana no finansējuma saņēmēja puses.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tā nodokļu parādu, valsts sociālās apdrošināšanas obligāto iemaksu un citu valsts noteikto obligāto maksājumu parādu apmērs nepārsniedz 150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atbilstoši 2025. gada 31. jūlija Uzraudzības komitejas sēdē apstiprinātajiem grozījumiem 3.1. metodikā, kas attiecas uz nodaļas parādu izvērtēšanas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vērtēšanas kārtība paredz, ka parādu izvērtēšanā tiek ņemts vērā Valsts ieņēmumu dienesta nodokļu (nodevu) maksātāju reitings. Ja Valsts ieņēmumu dienesta publiskajā datubāzē pieejamajā nodokļu (nodevu) maksātāju reitingā ir norādīta laba nodokļu saistību izpilde, tad nodokļa parāds tālāk netiek skatīts.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Uz projektu, kas saistīts ar saimniecisku darbību, attiecināmas ir Komisijas regulas Nr. 651/2014 25. panta 3. punkta "a", "b", "d" un "e" apakšpunktā noteiktās pētniecības izmaksas, bet uz šo noteikumu 50.1. apakšpunktā noteiktā labuma guvēja īstenotajām darbībām – 28. panta 2. punkta "a" apakšpunktā minētās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attiecīgo punktu, skaidri norādot, ka Komisijas regulas (ES) Nr. 651/2014 25. panta 3. punkta "a", "b", "d" un "e" apakšpunktā noteiktās izmaksu kategorijas attiecināmas arī uz projektiem, kuru finansējums tiek piešķirts kā de minimis atbalsts saskaņā ar Komisijas regulu (ES) Nr. 2023/2831.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precizējums veicinās skaidrību par attiecināmo izmaksu piemērošanu un nodrošinās vienotu pieeju atbalsta intensitātes un izmaksu veidu interpretācijā neatkarīgi no piemērotā valsts atbalsta režīma.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Šo noteikumu </w:t>
            </w:r>
            <w:r w:rsidR="00000000" w:rsidRPr="00000000" w:rsidDel="00000000">
              <w:rPr>
                <w:rtl w:val="0"/>
              </w:rPr>
              <w:t xml:space="preserve">32.</w:t>
            </w:r>
            <w:r w:rsidR="00000000" w:rsidRPr="00000000" w:rsidDel="00000000">
              <w:rPr>
                <w:rtl w:val="0"/>
              </w:rPr>
              <w:t xml:space="preserve"> punktā</w:t>
            </w:r>
            <w:r w:rsidR="00000000" w:rsidRPr="00000000" w:rsidDel="00000000">
              <w:rPr>
                <w:rtl w:val="0"/>
              </w:rPr>
              <w:t xml:space="preserve"> minētās darbības ir atbalstāmas un izmaksas ir attiecināmas, ja tās uzsāktas, ievērojot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darbību uzsākšanas nosacījumus projektiem, kas ietver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atbalsts tiek piešķirts saskaņā ar Komisijas regulu (ES) Nr. 2023/2831 par de minimis atbalstu, tad projekta darbības var tikt uzsāktas pirms projekta pieteikuma iesniegšanas atbalsta sniedzējam.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valsts atbalsts tiek piešķirts saskaņā ar Komisijas regulas (ES) Nr. 651/2014 25. pantu, tad ir jāievēro šīs regulas 6.pants, kas nosaka stimulējošās ietekmes principu, kā arī MNK 41.punkts paredz, ka projekta darbības var tikt uzsāktas tikai pēc projekta pieteikuma iesniegšanas atbalsta sniedzējam. Ja darbības tiek uzsāktas pirms projekta pieteikuma iesniegšanas, visa projekta pieteikums ir noraidāms.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Pieļaujamā publiskā finansējuma intensitāte pētniecībai šo noteikumu </w:t>
            </w:r>
            <w:r w:rsidR="00000000" w:rsidRPr="00000000" w:rsidDel="00000000">
              <w:rPr>
                <w:rtl w:val="0"/>
              </w:rPr>
              <w:t xml:space="preserve">23.</w:t>
            </w:r>
            <w:r w:rsidR="00000000" w:rsidRPr="00000000" w:rsidDel="00000000">
              <w:rPr>
                <w:rtl w:val="0"/>
              </w:rPr>
              <w:t xml:space="preserve"> punktā</w:t>
            </w:r>
            <w:r w:rsidR="00000000" w:rsidRPr="00000000" w:rsidDel="00000000">
              <w:rPr>
                <w:rtl w:val="0"/>
              </w:rPr>
              <w:t xml:space="preserve"> minētajos gadījumos atbilstoši Komisijas regulas Nr. 651/2014 25. panta 5. un 6. punkta nosacījumiem ir šāda: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attiecīgo punktu, iekļaujot norādi, ka Komisijas regulas (ES) Nr. 651/2014 25. panta 5. un 6. punkta nosacījumi par publiskā finansējuma intensitāti piemērojami arī projektiem, kuru atbalsts tiek piešķirts saskaņā ar Komisijas regulu (ES) Nr. 2023/2831 par de minimis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precizējums nodrošinās skaidrību par piemērojamo finansējuma intensitāti, kā arī konsekvenci atbalsta piešķiršanā neatkarīgi no izmantotā regulējuma.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50.2. īsteno ar saimniecisku darbību nesaistītu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apakšpunktā nav skaidras norādes, vai finansējumu tehnoloģiju tiesību aizsardzībai ar saimniecisku darbību nesaistītā projektā var saņemt gan finansējuma saņēmējs - pētniecības organizācija, gan sadarbības partneri. Aicinām 50.2.apakšpunktā skaidri definēt, vai projekta ietvaros finansējumu tehnoloģiju tiesību aizsardzībai var saņemt saimnieciskās darbības veicēji, kas ir sadarbības partneri ar saimniecisku darbību nesaistītā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Līvija Rumbeniece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Īstenojot projektu iesniegumu starptautisko ekspertīzi, Latvijas Zinātnes padome nodrošina, ka, izvērtējot projektu iesniegumus, to vidusposma un gala rezultātus, tiek izstrādāta kārtība, kādā projektu iesniegumu izvērtēšanas procesā tiks nodrošināta konfidencialitātes un interešu konflikta novēršanas prasību ievērošana atbilstoši Eiropas Parlamenta un Padomes 2024. gada 23. septembra Regulas (ES, Euratom) Nr.  </w:t>
            </w:r>
            <w:r w:rsidR="00000000" w:rsidRPr="00000000" w:rsidDel="00000000">
              <w:rPr>
                <w:rtl w:val="0"/>
              </w:rPr>
              <w:t xml:space="preserve">2024/2509</w:t>
            </w:r>
            <w:r w:rsidR="00000000" w:rsidRPr="00000000" w:rsidDel="00000000">
              <w:rPr>
                <w:rtl w:val="0"/>
              </w:rPr>
              <w:t xml:space="preserve"> par finanšu noteikumiem, ko piemēro Savienības vispārējam budžetam (pārstrādāta redakcija), 61. pantam, identificēti apstākļi, kuri izraisa vai var izraisīt interešu konfliktu, kas rada apdraudējumu vai kaitējumu projekta īstenošanai, noteikti veicamie pasākumi un izstrādāti darbības plāni interešu konflikta preventīvai novēršanai un gadījumiem, kad interešu konflikts ir atklāts, kā arī, īstenojot projektu, paraksta apliecinājumu par interešu konflikta neesību. Latvijas Zinātnes padome pārliecinās, ka ārvalstu ekspertu atlasē iesaistītie Latvijas Zinātnes padomes darbinieki un ārvalstu eksperts ir iepazinušies ar attiecīgo kārtību un parakstījuši apliecinājumu par interešu konflikta neesību.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MKN Nr. 407 56. punktā ietvertās prasības parakstīt apliecinājumu par interešu konflikta neesamību nepieciešamību, ņemot vērā to, ka Eiropas Parlamenta un Padomes 2024. gada 23. septembra Regulas (ES, Euratom) 2024/2509 par finanšu noteikumiem, ko piemēro Savienības vispārējam budžetam (pārstrādātā redakcija) 61.panta prasības ir tieši piemērojamas tādiem projektiem, kas saistīti ar Eiropas Savienības (ES) fondu atbalsta saņemšanu un vienlaikus kuros atbilstoši specifiskā atbalsta mērķim finansējuma saņēmējs atlases kārtībā ES fondu dalībniekiem, gala saņēmējiem vai sadarbības partneriem sniedz finansiālu atbalstu (t.s. daudzpakāpju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21.08.2025.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21.08.2025.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Atzinumi_25-TA-1788.docx</dc:title>
</cp:coreProperties>
</file>

<file path=docProps/custom.xml><?xml version="1.0" encoding="utf-8"?>
<Properties xmlns="http://schemas.openxmlformats.org/officeDocument/2006/custom-properties" xmlns:vt="http://schemas.openxmlformats.org/officeDocument/2006/docPropsVTypes"/>
</file>