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informācijas neatbilstību uzrādītajam finansējumam anotācijas 3.sadaļas 1.-5.punktā un 6.punktā. Norādām, ka uzrādītajam finansējumam veidojas neatbilstības ne vien kopsummā, bet arī finansējuma sadalījumā pa avotiem (Eiropas Savienības un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apakšsadaļas "Problēmas apraksts" 3. punktu, kurā noteikts, ka </w:t>
            </w:r>
            <w:r w:rsidR="00000000" w:rsidRPr="00000000" w:rsidDel="00000000">
              <w:rPr>
                <w:i w:val="1"/>
                <w:u w:val="single"/>
                <w:rtl w:val="0"/>
              </w:rPr>
              <w:t xml:space="preserve">2025. gada 28. janvārī Finanšu ministrija ir ierosinājusi precizējumus</w:t>
            </w:r>
            <w:r w:rsidR="00000000" w:rsidRPr="00000000" w:rsidDel="00000000">
              <w:rPr>
                <w:i w:val="1"/>
                <w:rtl w:val="0"/>
              </w:rPr>
              <w:t xml:space="preserve"> vadlīnijās Nr. 1.2. "Vadlīnijas attiecināmo izmaksu noteikšanai Eiropas Savienības kohēzijas politikas programmas 2021.–2027. gada plānošanas periodā"</w:t>
            </w:r>
            <w:r w:rsidR="00000000" w:rsidRPr="00000000" w:rsidDel="00000000">
              <w:rPr>
                <w:rtl w:val="0"/>
              </w:rPr>
              <w:t xml:space="preserve">, ņemot vērā, ka grozījumi minētajās vadlīnijās Nr. 1.2. jau ir apstiprināti 2025. gada 9.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apakšsadaļas "Risinājuma apraksts" 3. punktā noteikto, ka </w:t>
            </w:r>
            <w:r w:rsidR="00000000" w:rsidRPr="00000000" w:rsidDel="00000000">
              <w:rPr>
                <w:i w:val="1"/>
                <w:rtl w:val="0"/>
              </w:rPr>
              <w:t xml:space="preserve">vadlīniju Nr. 1.2. izmaiņas vēl ir saskaņošanas procesā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"Mērķis" ar lakonisku aprakstu par tiesību akta izstrādes mērķi, t.i ar grozījumu būtību/ saturu. Vienlaikus norādām, ka mērķis jādefinē tādā formā, lai varētu novērtēt tā sasniegšanas progresu, kā to nosaka Valsts kancelejas "Vadlīnijas tiesību akta projekta sākotnējās ietekmes novērtēšanas un novērtējuma ziņojuma sagatavošanai vienotajā tiesību aktu izstrādes un saskaņošanas portālā"  - https://www.mk.gov.lv/sites/mk/files/media_file/tap_anotacija_vadlinijas.pdf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 (Jekaterina Sorokina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informēt Ministru kabinetu par tālākām rīcībām gadījumā, ja Eiropas Komisija neatbalsta Eiropas Savienības kohēzijas politikas programmas 2021.–2027. gadam grozījumu priekšlikumus, kas saistīti ar 4.4.1.1. pasākuma finansējuma samazināšanu, kā arī iznākuma rādītāja EECO18 "Nacionāla, reģionāla vai vietēja mēroga valsts administrācijas vai sabiedrisko pakalpojumu iestāžu un pakalpojumu skaits, kas saņēmuši atbalstu", iznākuma rādītāja i.4.4.1.a “Biedrības, nodibinājumi un uzņēmumi, kuri saņēmuši atbalstu” un rezultāta rādītāja r.4.4.1.a “Sabiedrībā balstītu sociālo pakalpojumu skaita pieaugums” vērtības samazināšanai.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Ministru kabineta sēdes protokollēmuma projektu ar norādi par ātrāku (pirms Eiropas Komisijas (turpmāk - EK) lēmuma) elastības finansējuma izmantošanu, ņemot vērā ka tiek svītrots Ministru kabineta 2023. gada 19. decembra noteikumu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 (turpmāk – noteikumi)  8. punkts, kas paredz elastības finansējumu. Skaidrojam, ka līdz EK lēmumam Eiropas Savienības kohēzijas politikas programmas 2021.–2027. gadam (turpmāk - programma) katras prioritātes, specifiskā atbalsta mērķa vai pasākuma ietvaros ir jānodrošina attiecīgs elastības finansējums. Attiecīgi, pirms EK lēmuma, noteikumu 8. punktā ir jābūt noteiktam elastības finansējumam, kas izriet no noteikumu 7. punktā norādītā (samazinātā)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2025. gada 27. maija sēdes protokola Nr. 21 42. § 12.punkts paredz, ka elastības finansējums kļūst pieejams pēc EK lēmuma par programmas grozījumiem. Izņēmuma gadījumā, to objektīvi pamatojot, ministrija, virzot attiecīgo Ministra kabineta noteikumu projektu par specifiskā atbalsta mērķa vai tā pasākuma īstenošanu vai to grozījumus, Ministru kabineta sēdes protokollēmuma projektā var rosināt ātrāku elastības finansējuma izmantošanu, izvērstu pamatojumu sniedzot sākotnējās ietekmes (ex-ante)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03.07.2025. 23.09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03.07.2025. 23.09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Atzinumi_25-TA-964.docx</dc:title>
</cp:coreProperties>
</file>

<file path=docProps/custom.xml><?xml version="1.0" encoding="utf-8"?>
<Properties xmlns="http://schemas.openxmlformats.org/officeDocument/2006/custom-properties" xmlns:vt="http://schemas.openxmlformats.org/officeDocument/2006/docPropsVTypes"/>
</file>