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izstrādātā likumprojekta piemērošanu un netiktu pavērtas plašas tā interpretācijas iespējas saistībā ar jēdzieniem "drošums", "drošība", "pakalpojums"  vai "drošs pakalpojums", lūdzam konkretizēt uz kuriem pakalpojumiem attiecināms likumprojekta regulējums vai arī noteikt izņēmumus -  pakalpojumus, uz kuriem likumprojektā ietvertais regulējums nebūs attiecināms. Pašlaik nerodas pārliecība, ka izstrādātais likumprojekts neskar plašāku pakalpojumu loku, piemēram, transporta nozares pakalpojumus, kuru ietvaros jānodrošina drošums un drošība (skatīt ar Ministru kabineta 2021.gada 21.oktobra rīkojumu Nr.710 apstiprinātās Transporta attīstības pamatnostādnes 2021. - 2027.gadam, kurās drošība un drošums ir minēts kā būtisks nosacījums transporta nozares pakalpojumu attīstībā).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Ozoliņa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04.02.2025. 22.03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04.02.2025. 22.03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