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26. augusta noteikumos Nr. 509 "Noteikumi par karavīra mēnešalgas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 sadaļu "Spēkā stāšanās termiņš", jo projektā ir noteikts, ka tas stāsies spēkā 2023. gada 1. jūlijā, nevis vispārējā kārtībā, kā tas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sadaļu "Mērķa apraksts", kā arī 1.3. sadaļu "Risinājuma apraksts", izslēdzot informāciju, ka projekta mērķis ir cita starp noteikt kārtību, kā aprēķina sociālo garantiju apmēru no amata atbrīvotam karavīram, jo projekta 1.1. apakšpunkts, kas paredzēja Ministru kabineta 2014. gada 26. augusta noteikumus Nr. 509 "Noteikumi par karavīra mēnešalgas un speciālo piemaksu noteikšanas kārtību un to apmēru" papildināt ar 4.3 punktu un kurā bija iekļauti nosacījumi attiecībā uz sociālajām garantijām karavīram, tika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23.05.2023.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23.05.2023.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Atzinumi_23-TA-708.docx</dc:title>
</cp:coreProperties>
</file>

<file path=docProps/custom.xml><?xml version="1.0" encoding="utf-8"?>
<Properties xmlns="http://schemas.openxmlformats.org/officeDocument/2006/custom-properties" xmlns:vt="http://schemas.openxmlformats.org/officeDocument/2006/docPropsVTypes"/>
</file>