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Izteikt Noteikumu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Pārvietoties pa ietvi, gājēju ceļu, gājēju un velosipēdu ceļu, kopīgu gājēju un velosipēdu ceļu vai nomali, izmantojot monoriteņus, skrituļslidas, skrituļdēļus u. tm.l. sporta vai atpūtas inventāru, atļauts, ja tas netraucē citus ceļu satiksmes dalībniekus. Šķērsot brauktuvi ar šādu inventāru atļauts ar ātrumu, kas nepārsniedz gājēju pārvietošanās ātrumu. Sporta vai atpūtas inventāra, kas darbināms ar elektrisko piedziņu, lietotājiem papildus jāievēro šo noteikumu 200, 200.2., 200.3., 200.4., 201., 202., 203., 204., 205., 206., 207., 211., 214., 216., un 217.(izņemot 217.1.) punktā minētās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1.punktā piedāvātajā 8.punkta redakcijā skaitļus un vārdus "211., 214., 216. un 217. (izņemot 217.1.) punktā" ar vārdiem un skaitli "un 211.punktā", jo nav saprotams, kā gan uz sporta vai atpūtas inventāra, kas darbināms ar elektrisko piedziņu, lietotājiem varētu tikt attiecinātas Ceļu satiksmes noteikumu 23.nodaļā noteiktās papildu prasības, kas attiecināmas uz pajūgu vadītājiem, jātniekiem un dzīvnieku dzinējiem.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Noteikumu 69.punktu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Ārpus krustojumiem, kur tramvaja sliežu ceļa klātne šķērso bezsliežu transportlīdzekļu brauktuvi, pasažieru sabiedriskajiem transportlīdzekļiem, kas brauc pa tramvaja sliežu klātni, ir priekšroka.”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6.punktā piedāvāto 69.punkta redakciju, aizstājot tajā vārdus "tramvaja sliežu klātni" ar vārdiem "tramvaja sliežu ceļa klātni" (tādējādi nodrošinot vienveidīgas terminoloģijas lietošanu visā projekta un attiecīgi arī Ceļu satiksmes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Noteikumu 72.punktu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neattiecas uz pasažieru sabiedriskajiem transportlīdzekļiem."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8.punktā piedāvātos grozījumus 72.punktā, paredzot attiecīgu grozījumu izdarīšanu jau šobrīd spēkā esošajā 72.punkta redakcijā un aizstājot tajā vārdus "tramvaja sliežu klātnes" ar vārdiem "tramvaja sliežu ceļa klātnes" (tādējādi nodrošinot vienveidīgas terminoloģijas lietošanu visā Ceļu satiksmes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Noteikumu 89.punkta otro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nedrīkst radīt traucējumus pasažieru sabiedriskajiem transportlīdzekļiem, kas brauc pa tramvaja sliežu klātni.”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10.punktā piedāvāto 89.punkta otrā teikuma redakciju, aizstājot tajā vārdus "tramvaja sliežu klātni" ar vārdiem "tramvaja sliežu ceļa klātni" (tādējādi nodrošinot vienveidīgas terminoloģijas lietošanu visā projekta un attiecīgi arī Ceļu satiksmes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Noteikumu 127.punktu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Ja satiksmes regulētāja vai luksofora signāli atļauj braukt vienlaikus tramvajam un bezsliežu transportlīdzekļiem, priekšroka ir tramvajam un citiem pasažieru sabiedriskajiem transportlīdzekļiem, kas brauc pa tramvaja sliežu klātni, no tās nenobraucot.”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14.punktā piedāvāto 127.punkta redakciju, aizstājot tajā vārdus "tramvaja sliežu klātni" ar vārdiem "tramvaja sliežu ceļa klātni" (tādējādi nodrošinot vienveidīgas terminoloģijas lietošanu visā projekta un attiecīgi arī Ceļu satiksmes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Noteikumu 134.punktu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Vienādas nozīmes ceļu krustojumā, kā arī nevienādas nozīmes ceļu krustojumā, ja transportlīdzekļi atrodas uz savstarpēji vienādas nozīmes ceļa, pasažieru sabiedriskā transportlīdzekļa vadītājam, kas brauc pa tramvaja sliežu klātni, no tās nenobraucot, neatkarīgi no tā braukšanas virziena ir priekšroka attiecībā pret bezsliežu transportlīdzekļu vadītājiem.”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15.punktā piedāvāto 134.punkta redakciju, aizstājot tajā vārdus "tramvaja sliežu klātni" ar vārdiem "tramvaja sliežu ceļa klātni" (tādējādi nodrošinot vienveidīgas terminoloģijas lietošanu visā projekta un attiecīgi arī Ceļu satiksmes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Noteikumu 136.punkta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noteikumi savstarpēji jāievēro arī pasažieru sabiedrisko transportlīdzekļu vadītājiem, kas brauc pa tramvaja sliežu klātni.”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16.punktā piedāvāto 136.punkta otrā teikuma redakciju, aizstājot tajā vārdus "tramvaja sliežu klātni" ar vārdiem "tramvaja sliežu ceļa klātni" (tādējādi nodrošinot vienveidīgas terminoloģijas lietošanu visā projekta un attiecīgi arī Ceļu satiksmes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Izteikt Noteikumu 22.nodaļu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Papildu prasības velosipēdu un elektroskrejriteņu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 Velosipēdu un elektroskrejriteņu vadītājiem jābrauc pa attiecīgā virziena velojoslu, velosipēdu ceļu vai gājēju un velosipēdu ceļu, vai brauktuves daļu, kas apzīmēta ar 956. ceļa apzīmējumu iespējami tuvāk to labajai malai. Ja to nav vai tie ir attālināti no ceļa, velosipēdu un elektroskrejriteņu vadītājiem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 braukt pa brauktuvi vienā rindā iespējami tuvāk brauktuves (braukšanas joslas) labajai malai; Tālāk uz brauktuves atļauts izbraukt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200.1.1. lai apbrauktu, apsteigtu vai apdzītu;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 lai apdzīvotā vietā brauktu taisni, ja labā malējā josla ierīkota tikai labajam pagriezienam;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200.1.3. pavadot bērnus, kas jaunāki par 12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200.1.4. lai brauktu pa braukšanas joslu visā tās platumā, bez iemesla netraucējot cita transportlīdzekļa braukšanu, uz ceļiem, kur atļautais braukšanas ātrums nepārsniedz 30 km/h, vietā, kur neveic darbus uz ceļa vai nav maksimālā ātruma ierobežojuma ar noteiktu darbības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200.1.5. lai nogrieztos pa kreisi šo noteikumu 209.punktā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  braukt pa nomali, dodot ceļu gājējiem;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 braukt pa ietvi, izņemot pašgājēja velosipēda vadītājiem, netraucējot gājējus,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200.3.1.               ja braukšana pa brauktuvi, ņemot vērā ceļu satiksmes intensitāti, ceļa un meteoroloģiskos apstākļus, nav iespējama, ir apgrūtināta vai bīstama;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               bērniem, kuri jaunāki par 12 gadiem, un velosipēdu un elektroskrejriteņu vadītājiem, kuri tos pavada.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   braukt pa kopīgu gājēju un velosipēdu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Braucot pa ietvi vai kopīgu gājēju un velosipēdu ceļu, velosipēdu un elektroskrejriteņu vadītājiem jāievēro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gājējiem ir priekšroka;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jāizvēlas tāds braukšanas ātrums, lai netiktu apdraudēti vai traucēti gājēji;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ja pastāv risks, ka var apdraudēt vai traucēt gājējus, jābrauc ar ātrumu, kas nepārsniedz gājēju pārvietošanās ātrumu, vai jāaptur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Velosipēdu un elektroskrejriteņu vadītājiem jābrauc ar ātrumu, kas neapdraud ceļu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Velosipēdu un elektroskrejriteņu vadītājiem jāievēro to satiksmei noteiktais virziens un brauktuves puse. Braukt pretējā virzienā pa brauktuvi aizliegts, izņemot gadījumus, kad tas noteikts ar atbilstošām ceļa zīmēm vai apzīmējumiem.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Velosipēdu un elektroskrejriteņu vadītājiem atļauts šķērsot brauktuvi pa ietves vai nomales iedomāto turpinājumu krustojumā, kā arī, netraucējot gājējus, – pa gājēju pārejām. Pirms brauktuves šķērsošanas velosipēdu un elektroskrejriteņu vadītājiem laikus jāsamazina braukšanas ātrums un, ja tas nepieciešams ceļu satiksmes drošībai, transportlīdzeklis jāaptur. Šķērsojot brauktuvi pa ietves iedomāto turpinājumu, velosipēdu un elektroskrejriteņa vadītājiem jābrauc ar ātrumu, kas nepārsniedz gājēju pārvietošanās ātrumu un jādod ceļš transportlīdzekļiem, kas brauc pa šķērsojamo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Ja gājēju pārejas robežās, ko nosaka 535., 536. zīmes, ietverti 931. un 932. apzīmējumi, velosipēdu un elektroskrejriteņu vadītājiem brauktuve jāšķērso pa gājēju pārejas daļu, kas paredzēta braukšanai ar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Vietās, kur ārpus krustojumiem velosipēdu ceļš, gājēju un velosipēdu ceļš vai kopīgais gājēju un velosipēdu ceļš šķērso brauktuvi un ceļu satiksme netiek regulēta, velosipēdu un elektroskrejriteņa vadītājiem, kas brauc pa šiem ceļiem, jādod ceļš transportlīdzekļiem, kas brauc pa šķērsojamo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Vietās, kur velosipēdu un elektroskrejriteņa vadītāju braukšanas trajektorijas krustojas ar pārējo transportlīdzekļu braukšanas trajektorijām, velosipēdu vadītājiem jānovērtē attālums līdz transportlīdzekļiem, kas tuvojas, kā arī jānovērtē to braukšanas ātrums un jāpārliecinās par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Pirms nogriešanās pa kreisi velosipēda un elektroskrejriteņa vadītājiem jāizvērtē ceļa veids (vienvirziena, divvirzienu, joslu skaits, atļautie braukšanas virzieni tajās u. tml.), satiksmes intensitāte un jāizvēlas drošākais manevra veikšanas veids tā, lai neradītu satiksmei bīstamas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 Vietās, kur nav iekārtots velosipēdu ceļš, gājēju un velosipēdu ceļš vai kopīgs gājēju un velosipēdu ceļš, velosipēda un elektroskrejriteņa vadītājiem nogriešanās pa kreisi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209.1. krustojumos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209.1.1. šķērsojot brauktuvju krustošanās vietu pa brauktuves labo malu, dodot ceļu tajā pašā virzienā taisni braucošajiem transportlīdzekļiem un tiem ceļu satiksmes dalībniekiem, kam saskaņā ar braukšanas noteikumiem krustojumā ir priekšroka;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209.1.2. uz ceļiem, kur ceļu satiksme notiek divos virzienos un ir viena braukšanas josla katrā virzienā, nogriešanos pa kreisi atļauts veikt no kreisā malējā stāvokļa, kas ieņemts uz brauktuves;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209.1.3. uz ceļiem, kur noteikta vienvirziena satiksme, nogriešanos pa kreisi atļauts veikt no kreisās malējās joslas labās malas;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209.1.4. ja braukšanai attiecīgajā virzienā ir vairākas joslas un iekārtota atsevišķa josla tikai braukšanai pa kreisi, nogriešanos pa kreisi atļauts veikt no kreisās malējās joslas labās malas.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209.2. ārpus krustojumiem apdzīvotās vietās no brauktuves labās malas, bet uz ceļiem, kur ceļu satiksme notiek divos virzienos ar vienu joslu katrā virzienā, – arī no kreisā malējā stāvokļa, kas ieņemts uz attiecīgā virziena braukšanas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209.3. ārpus apdzīvotām vietām - tikai no brauktuves labās malas (labās nomales), dodot ceļu tajā pašā virzienā un pretim braucošajiem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Velosipēdam un ektroskrejritenim jābūt tehniskā kārtībā un aprīkotam ar bremzēm.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Elektroskrejritenim braukšanas laikā priekšpusē jādeg baltas gaismas lukturim, bet aizmugurē – sarkanas gaismas lukturim. Elektroskrejritenim abos tā sānos jābūt aprīkotam ar dzelteniem gaismas atstarotājiem.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1</w:t>
            </w:r>
            <w:r w:rsidR="00000000" w:rsidRPr="00000000" w:rsidDel="00000000">
              <w:rPr>
                <w:rtl w:val="0"/>
              </w:rPr>
              <w:t xml:space="preserve"> Ja lukturu nav vai tie nedarbojas, velosipēda un elektroskrejriteņa vadītājiem diennakts tumšā laikā jābūt tērptam atstarojošā vestē vai apģērbā ar labi redzamiem gaismu atstarojošiem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2</w:t>
            </w:r>
            <w:r w:rsidR="00000000" w:rsidRPr="00000000" w:rsidDel="00000000">
              <w:rPr>
                <w:rtl w:val="0"/>
              </w:rPr>
              <w:t xml:space="preserve">  Velosipēdu piekabēm aizmugurē jābūt sarkanam gaismas atstarotājam, kā arī, braucot diennakts tumšajā laikā vai nepietiekamas redzamības apstākļos, aizmugurē jādeg sarkanas gaismas lukturim.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3</w:t>
            </w:r>
            <w:r w:rsidR="00000000" w:rsidRPr="00000000" w:rsidDel="00000000">
              <w:rPr>
                <w:rtl w:val="0"/>
              </w:rPr>
              <w:t xml:space="preserve"> Velosipēda un elektroskrejriteņa vadītājiem vecumā līdz 17 gadiem galvā jābūt aizsprādzētai aizsargķiverei.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4</w:t>
            </w:r>
            <w:r w:rsidR="00000000" w:rsidRPr="00000000" w:rsidDel="00000000">
              <w:rPr>
                <w:rtl w:val="0"/>
              </w:rPr>
              <w:t xml:space="preserve">  Velosipēdu un elektroskrejriteņu vadītājiem aizliegts: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4</w:t>
            </w:r>
            <w:r w:rsidR="00000000" w:rsidRPr="00000000" w:rsidDel="00000000">
              <w:rPr>
                <w:rtl w:val="0"/>
              </w:rPr>
              <w:t xml:space="preserve">.1. braukt, neturot stūri;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4</w:t>
            </w:r>
            <w:r w:rsidR="00000000" w:rsidRPr="00000000" w:rsidDel="00000000">
              <w:rPr>
                <w:rtl w:val="0"/>
              </w:rPr>
              <w:t xml:space="preserve">.2. braukt, turoties pie cita braucoša transportlīdzekļa;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212.4.3. pārvadāt kravu, kas traucē vadīšanu vai apdraud citus ceļu satiksmes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4</w:t>
            </w:r>
            <w:r w:rsidR="00000000" w:rsidRPr="00000000" w:rsidDel="00000000">
              <w:rPr>
                <w:rtl w:val="0"/>
              </w:rPr>
              <w:t xml:space="preserve">.4. vest pasažieri. Ar velosipēdu atļauts vest bērnus vecumā līdz septiņiem gadiem ar galvā uzvilktu aizsprādzētu aizsargķiveri, ja ir iekārtoti droši papildu sēdekļi vai velosipēds ir izgatavots speciāli šim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4</w:t>
            </w:r>
            <w:r w:rsidR="00000000" w:rsidRPr="00000000" w:rsidDel="00000000">
              <w:rPr>
                <w:rtl w:val="0"/>
              </w:rPr>
              <w:t xml:space="preserve">.5. vilkt citus transportlīdzekļus, izņemot piekabes, kas izgatavotas speciāli šim nolūkam;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5</w:t>
            </w:r>
            <w:r w:rsidR="00000000" w:rsidRPr="00000000" w:rsidDel="00000000">
              <w:rPr>
                <w:rtl w:val="0"/>
              </w:rPr>
              <w:t xml:space="preserve">. Velosipēdu vadītāji treniņnodarbību laikā vai organizētu sacensību laikā, ja tos noteiktā kārtībā pavada speciāli aprīkoti automobiļi, drīkst neievērot šo noteikumu 200., 211., 212., 212.</w:t>
            </w:r>
            <w:r w:rsidR="00000000" w:rsidRPr="00000000" w:rsidDel="00000000">
              <w:rPr>
                <w:vertAlign w:val="superscript"/>
                <w:rtl w:val="0"/>
              </w:rPr>
              <w:t xml:space="preserve">1</w:t>
            </w:r>
            <w:r w:rsidR="00000000" w:rsidRPr="00000000" w:rsidDel="00000000">
              <w:rPr>
                <w:rtl w:val="0"/>
              </w:rPr>
              <w:t xml:space="preserve"> un 212.</w:t>
            </w:r>
            <w:r w:rsidR="00000000" w:rsidRPr="00000000" w:rsidDel="00000000">
              <w:rPr>
                <w:vertAlign w:val="superscript"/>
                <w:rtl w:val="0"/>
              </w:rPr>
              <w:t xml:space="preserve">2</w:t>
            </w:r>
            <w:r w:rsidR="00000000" w:rsidRPr="00000000" w:rsidDel="00000000">
              <w:rPr>
                <w:rtl w:val="0"/>
              </w:rPr>
              <w:t xml:space="preserve"> punktā minētās prasības, ja tiek nodrošināta ceļu satiksmes drošība.”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17.punktā piedāvātie grozījumi paredz izteikt visu Ceļu satiksmes noteikumu 22.nodaļas regulējumu jaunā redakcijā. Taču pēc būtības ar šiem grozījumiem, skatot tos kontekstā ar projekta 18.punktā piedāvātajiem grozījumiem, vienā nodaļā tiek apvienots Ceļu satiksmes noteikumu 22. un 22.</w:t>
            </w:r>
            <w:r w:rsidR="00000000" w:rsidRPr="00000000" w:rsidDel="00000000">
              <w:rPr>
                <w:vertAlign w:val="superscript"/>
                <w:rtl w:val="0"/>
              </w:rPr>
              <w:t xml:space="preserve">1</w:t>
            </w:r>
            <w:r w:rsidR="00000000" w:rsidRPr="00000000" w:rsidDel="00000000">
              <w:rPr>
                <w:rtl w:val="0"/>
              </w:rPr>
              <w:t xml:space="preserve">nodaļas regulējums. Taču secināms, ka šādas minētā regulējuma apvienošanas rezultātā jaunajā projekta 22.nodaļas regulējumā nav ietvertas visas šobrīd spēkā esošās tiesību normas, piemēram, Ceļu satiksmes noteikumu 209.punkta regulējums. Projekta sākotnējās ietekmes novērtējuma ziņojumā (anotācijā) nav ietverts skaidrojums, kas pamatotu turpmāku atteikšanos no šī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attiecīgi precizēt projekta 17.punktā piedāvāto 22.nodaļas regulējumu, pilnībā pārņemot (ietverot) tajā arī šobrīd spēkā esošo Ceļu satiksmes noteikumu 209.punkta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Noteikumu 283.16.punktā un 4. pielikumā mainīt 724. zīmes "Satiksmes ierobežojumi Latvijā" attēlu, ietverot sekojošu zīmes 724. zīmes "Satiksmes ierobežojumi Latvijā" attēlu: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23.punkta redakciju, svītrojot tajā aiz vārda "sekojošu" lietoto vārdu "zīmes".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Papildināt Noteikumu 290.2.apakšpunktu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ceļa apzīmējums neattiecas uz pasažieru sabiedriskajiem transportlīdzekļiem, kas brauc pa tramvaja sliežu klātni.”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24.punktā piedāvāto 290.2.apakšpunkta otrā teikuma redakciju, aizstājot tajā vārdus "tramvaja sliežu klātni" ar vārdiem "tramvaja sliežu ceļa klātni" (tādējādi nodrošinot vienveidīgas terminoloģijas lietošanu visā projekta un attiecīgi arī Ceļu satiksmes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Papildināt Noteikumu 290.3.apakšpunktu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“906. un 907. ceļa apzīmējums neattiecas uz pasažieru sabiedriskajiem transportlīdzekļiem kas brauc pa tramvaja sliežu klātni.”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25.punktā piedāvāto 290.3.apakšpunkta otrā teikuma redakciju, aizstājot tajā vārdus "tramvaja sliežu klātni" ar vārdiem "tramvaja sliežu ceļa klātni" (tādējādi nodrošinot vienveidīgas terminoloģijas lietošanu visā projekta un attiecīgi arī Ceļu satiksmes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Papildināt Noteikumu 28. nodaļu “Noslēguma jautājumi” ar 300.punktu un 301.punktu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 Līdz pasažieru sabiedrisko transportlīdzekļu luksoforu nomaiņai, bet ne vēlāk kā līdz 2028. gada 1. janvārim, atļauts lietot luksoforus ar baltiem gaismas signāliem, kas izvietoti "T" burta veidā. Šo noteikumu 50.punkts ir spēkā līdz 2028. gada 1.janvārim. Šo noteikumu 50</w:t>
            </w:r>
            <w:r w:rsidR="00000000" w:rsidRPr="00000000" w:rsidDel="00000000">
              <w:rPr>
                <w:vertAlign w:val="superscript"/>
                <w:rtl w:val="0"/>
              </w:rPr>
              <w:t xml:space="preserve">1</w:t>
            </w:r>
            <w:r w:rsidR="00000000" w:rsidRPr="00000000" w:rsidDel="00000000">
              <w:rPr>
                <w:rtl w:val="0"/>
              </w:rPr>
              <w:t xml:space="preserve">. punkts stājas spēkā no 2026. 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Šo noteikumu 103.9. apakšpunkts stājas spēkā 2026.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26.punktā piedāvāto 300.punkta trešā teikuma redakciju, norādot tajā korektu 50.</w:t>
            </w:r>
            <w:r w:rsidR="00000000" w:rsidRPr="00000000" w:rsidDel="00000000">
              <w:rPr>
                <w:vertAlign w:val="superscript"/>
                <w:rtl w:val="0"/>
              </w:rPr>
              <w:t xml:space="preserve">1</w:t>
            </w:r>
            <w:r w:rsidR="00000000" w:rsidRPr="00000000" w:rsidDel="00000000">
              <w:rPr>
                <w:rtl w:val="0"/>
              </w:rPr>
              <w:t xml:space="preserve">punkta spēkā stāšanās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16.01.2026.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16.01.2026.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Atzinumi_25-TA-1583.docx</dc:title>
</cp:coreProperties>
</file>

<file path=docProps/custom.xml><?xml version="1.0" encoding="utf-8"?>
<Properties xmlns="http://schemas.openxmlformats.org/officeDocument/2006/custom-properties" xmlns:vt="http://schemas.openxmlformats.org/officeDocument/2006/docPropsVTypes"/>
</file>