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22-TA-2962: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 prioritārā virziena “Nodarbinātība un sociālā iekļaušana” 4.3.1. specifiskā atbalsta mērķa “Veicināt sociāli atstumto kopienu, migrantu un nelabvēlīgā situācijā esošo grupu sociāli ekonomisko integrāciju, izmantojot integrētus pasākumus, tostarp mājokļu un sociālo pakalpojumu jomā” 4.3.1.3. pasākuma “Sociālo mājokļu atjaunošana vai jaunu sociālo mājokļu būvniecība”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Pasākuma ietvaros attiecināmas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punktu ar atbalstāmo darbību, kas paredz attiecināmās izmaksas konsultatīva rakstura pasākumu par būvētās vides, teritorijas labiekārtošanas, iekārtu un ierīču virtuves un sanitāro telpu funkcionalitātes un  piekļūstamības  personām ar dažādiem funkcionāliem traucējumiem nodrošināšanu.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Grīnberga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Pasākuma ietvaros iepirkumus veic saskaņā ar normatīvajiem aktiem publisko iepirkumu jomā, organizējot atklātu, pārredzamu, nediskriminējošu un konkurenci neierobežojošu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punktu, paredzot, ka ES fondu finansējuma saņēmēji var veikt publiskos iepirkumus </w:t>
            </w:r>
            <w:r w:rsidR="00000000" w:rsidRPr="00000000" w:rsidDel="00000000">
              <w:rPr>
                <w:b w:val="1"/>
                <w:rtl w:val="0"/>
              </w:rPr>
              <w:t xml:space="preserve">sociāli atbildīgā veidā,</w:t>
            </w:r>
            <w:r w:rsidR="00000000" w:rsidRPr="00000000" w:rsidDel="00000000">
              <w:rPr>
                <w:rtl w:val="0"/>
              </w:rPr>
              <w:t xml:space="preserve"> apzināti un sistemātiski  integrējot ar iepirkumu saistītās darbībās prasības, kas rada pozitīvu ietekmi uz sabiedrībai būtisku problēmu risināšanu un efektīvi virza uz priekšu sociālo un darbaspēka politiku. Publisko iepirkumu līgumos būtu jāparedz tādi izpildes nosacījumi un tādu pasākumu īstenošanu, ar kuriem veicina sieviešu un vīriešu vienlīdzību darba vietā, palielina sieviešu dalību darba tirgū un rod labāku līdzsvaru starp darbu un privāto dzīvi. Iepirkuma procedūrā būtu jādod priekšroka tādiem pakalpojuma sniedzējiem, kuri sekmē sociālās atstumtības riskam pakļauto personu vai grupu locekļu sociālo iekļaušanu.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Grīnberga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retāk kā vienu reizi ceturksnī savā tīmekļvietnē ievieto aktuālu informāciju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redakcionālu precizējumu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retāk kā vienu reizi ceturksnī savā tīmekļvietnē ievieto aktuālu informāciju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Grīnberga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apņemas vienošanās par projekta īstenošanu noteiktajā kārtībā un apjomā sniegt informāciju sadarbības iestādei par noslēgtajiem dzīvojamo telpu īres līgumiem projekta ietvaros atjaunotā, pārbūvētā vai izbūvētā dzīvokļa izīrēšanas gadījumā visā uzraudzības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skaidrojumu, kāds ir termiņš uzraudzības periodam, vai sniegt atsauci uz atbilstošo MK noteikumu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Grīnberga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36.13.1. vienlīdzība, iekļaušana, nediskriminācija un pamattiesību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precizēt punkta redakciju, definējot horizontālā principa “Vienlīdzība, iekļaušana, nediskriminācija un pamattiesību ievērošana” (HP VINPI) rādītājus atbilstoši vadlīnijām par horizontālā principa “Vienlīdzība, iekļaušana, nediskriminācija un pamattiesību ievērošana” ieviešanu un uzraudzību [1] un salāgot to ar 5.04.2023. UK apakškomitejā skatāmo 4.3.4.1. pasākuma projektu iesniegumu vērtēšanas kritēriju piemērošanas metodiku, kurā ir definēti HP VINPI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uzkrāj datus par horizontālā principa “Vienlīdzība, iekļaušana, nediskriminācija un pamattiesību ievērošana”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objektu skaits, kuros ERAF/KF ieguldījumu rezultātā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veikto vides un informācijas piekļūstamības pašnovērtējumu skaits, atbilstoši LM izstrādātajai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konsultatīva rakstura pasākumu skaits par būvētās vides, IT risinājumu, IT tehnoloģiju piekļūstamību personām ar dažādiem funkcionāliem traucējumiem.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Grīnberga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"Atbalstāmās darbības" ar informāciju, ka projektu īstenošanā ir noteiktas atbalstāmās darbības horizontālā principa "Vienlīdzība, iekļaušana, nediskriminācija un pamattiesību ievērošana" īstenošanai un paredz attiecināmās izmaksas konsultatīva rakstura pasākumu par būvētās vides, teritorijas labiekārtošanas, iekārtu un ierīču virtuves un sanitāro telpu funkcionalitātes un  piekļūstamības  personām ar dažādiem funkcionāliem traucējumiem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Grīnberga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specifiskajām darbībām, kas veicinās personu ar invaliditāti vienlīdzīgas iespējas un tiesības, iekļaujot aprakstu par vispārīgajām un specifiskajām horizontālā principa "Vienlīdzība, iekļaušana, nediskriminācija un pamattiesību ievērošana", kas tiks nodrošinātas projektu īstenošanā.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projektu ietvaros tiks īstenotas horizontālā principa "Vienlīdzība, iekļaušana, nediskriminācija un pamattiesību ievērošana"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personu ar invaliditāti piesaisti un nodrošina iekļaujošus darba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projektēšanas laikā un pirms objekta nodošanas ekspluatācijā publiskajai infrastruktūrai tiks veikts vides un informācijas piekļūstamības pašnovērtējums un iegūto punktu skaits nav zemāks par 8 (LM vides un informācijas piekļūstamības pašnovērtējuma metodika pieejama šeit: https://www.lm.gov.lv/lv/vides-un-informacijas-pieklustamibas-pasnovertejums-saskana-ar-lbn-200-21);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būvētās vides, teritorijas labiekārtošanas, iekārtu un ierīču virtuves un sanitāro telpu funkcionalitātes un  piekļūstamības  personām ar dažādiem funkcionāliem traucējumiem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būvprojektu izstrādē papildus būvnormatīvā LBN 200-21 noteiktajam, projektu ietvaros tiks īstenotas labās prakses darbības, kas īpaši veicina vides piekļūstamību cilvēkiem ar funkcionāliem traucējumiem atbilstoši vadlīnijām “Labās prakses ieteikumi vides piekļūstamības nodrošināšanai papildus LBN 200-21 noteiktajam”. Pieejams šeit: https://www.lm.gov.lv/lv/ieteikumi-ieklaujosas-vides-veidosanai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Grīnberga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vispārīgajām horizontālā principa "Vienlīdzība, iekļaušana, nediskriminācija un pamattiesību ievērošana" (HP VINPI) darbībām, kas veicinās dzimumu līdztiesību atbilstoši vadlīnijām par HP VINPI ieviešanu un uzraudzību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Grīnberga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4.3.4.1. pasākuma ietekmi uz HP "Vienlīdzība, iekļaušana, nediskriminācija un pamattiesību ievērošana" (turpmāk - HP VINPI):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- 4.3.4.1. pasākumam  ietekmi uz  HP VINPI (skat. HP VINPI vadlīniju 1.pielikumu,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HP VINPI vērtēšanas kritērija veidu, kurš tiks piemērots projektu iesniegumu vērtēšanā (kvalitātes kritērijs, skat. HP vadlīniju 6.1.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informāciju par to, ka pasākumam tiks piemēroti HP VINPI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Grīnberga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šo noteikumu </w:t>
            </w:r>
            <w:r w:rsidR="00000000" w:rsidRPr="00000000" w:rsidDel="00000000">
              <w:rPr>
                <w:rtl w:val="0"/>
              </w:rPr>
              <w:t xml:space="preserve">23.2.</w:t>
            </w:r>
            <w:r w:rsidR="00000000" w:rsidRPr="00000000" w:rsidDel="00000000">
              <w:rPr>
                <w:rtl w:val="0"/>
              </w:rPr>
              <w:t xml:space="preserve"> , </w:t>
            </w:r>
            <w:r w:rsidR="00000000" w:rsidRPr="00000000" w:rsidDel="00000000">
              <w:rPr>
                <w:rtl w:val="0"/>
              </w:rPr>
              <w:t xml:space="preserve">23.3.</w:t>
            </w:r>
            <w:r w:rsidR="00000000" w:rsidRPr="00000000" w:rsidDel="00000000">
              <w:rPr>
                <w:rtl w:val="0"/>
              </w:rPr>
              <w:t xml:space="preserve"> ​​​​​​​ un </w:t>
            </w:r>
            <w:r w:rsidR="00000000" w:rsidRPr="00000000" w:rsidDel="00000000">
              <w:rPr>
                <w:rtl w:val="0"/>
              </w:rPr>
              <w:t xml:space="preserve">23.4.</w:t>
            </w:r>
            <w:r w:rsidR="00000000" w:rsidRPr="00000000" w:rsidDel="00000000">
              <w:rPr>
                <w:rtl w:val="0"/>
              </w:rPr>
              <w:t xml:space="preserve"> ​​​​​​​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no dzīvojamās mājas kopējās platības, sociālo pakalpojumu sniegšanai. To dzīvojamās mājas daļu, kuru pēc projekta īstenošanas pašvaldība plāno izmantot atbilstoši normatīvajiem aktiem par sociālo pakalpojumu un sociālās palīdzības sniegšanu, neiekļauj projekta iesniegumā un attiecīgās izmaksas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Labās prakses un citu valstu piemēri uzsver kā pozitīvu un lietderīgu aspektu, kad dzīvojamā mājā tiek izmitinātas vairākas personas, ģimenes, kurām, piemēram, ir  socializēšanās problēmas, nabadzības risks, ka šajā mājā vienlīdz ir iespēja iegūt arī sociālos pakalpojumus, kas var būt gan kā sociālais darbinieks, gan atbalsta centrs. Līdz ar to ir produktīvāks darbs ar klientiem, jo viņi ir pieejamāki, kas var veicināt viņu prasmju, spēju attīstību un paaugstina iespējamību nākotnē veiksmīgāk iekļauties sabiedrībā un uzlabot savas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minētā, aicinām paredzēt iespēju pašvaldībām projekta kopējās un kopējās attiecināmās izmaksās - pašvaldības papildu ieguldījuma daļā - iekļaut izmaksas, kas ir tieši saistītas ar plānoto sabiedrībā balstītu sociālo pakalpojumu infrastruktūras izveidi, ja sociālajā dzīvojamā mājā plānota sociālo pakalpojumu sniegšana atbilstoši noteikumu 34.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Grīnberga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nodrošina, ka šo noteikumu </w:t>
            </w:r>
            <w:r w:rsidR="00000000" w:rsidRPr="00000000" w:rsidDel="00000000">
              <w:rPr>
                <w:rtl w:val="0"/>
              </w:rPr>
              <w:t xml:space="preserve">23.</w:t>
            </w:r>
            <w:r w:rsidR="00000000" w:rsidRPr="00000000" w:rsidDel="00000000">
              <w:rPr>
                <w:rtl w:val="0"/>
              </w:rPr>
              <w:t xml:space="preserve"> punktā minēto atbalstāmo darbību īstenošanas rezultātā radītie izīrējamie dzīvokļi ir ar pilnu iekšējo apdari, vannas un tualetes telpas ir aprīkotas ar santehniku – izlietni, jaucējkrānu, podu un vannu vai dušas kabīni, un virtuve ir aprīkota ar santehniku – izlietni un jaucējkrānu;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izveidojot izīrējamos dzīvokļus plānots nodrošināt vides un informācijas piekļūstamību plašākā apjomā nekā noteikts būvniecības nozares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Grīnberga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22-TA-2962</w:t>
    </w:r>
    <w:r>
      <w:br/>
    </w:r>
    <w:r w:rsidR="00000000" w:rsidRPr="00000000" w:rsidDel="00000000">
      <w:rPr>
        <w:rtl w:val="0"/>
      </w:rPr>
      <w:t xml:space="preserve">Izdrukāts 28.03.2023.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22-TA-2962</w:t>
    </w:r>
    <w:r>
      <w:br/>
    </w:r>
    <w:r w:rsidR="00000000" w:rsidRPr="00000000" w:rsidDel="00000000">
      <w:rPr>
        <w:rtl w:val="0"/>
      </w:rPr>
      <w:t xml:space="preserve">Izdrukāts 28.03.2023.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Atzinumi_22-TA-2962.docx</dc:title>
</cp:coreProperties>
</file>

<file path=docProps/custom.xml><?xml version="1.0" encoding="utf-8"?>
<Properties xmlns="http://schemas.openxmlformats.org/officeDocument/2006/custom-properties" xmlns:vt="http://schemas.openxmlformats.org/officeDocument/2006/docPropsVTypes"/>
</file>