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Covid-19 krīzes skartajiem sabiedriskās ēdināšanas nozares komersantiem zaudējumu kompensēšanai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16.maija atzinumā izteikto iebildumu. Atkārtoti norādām, ka 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(sākotnējās ietekmes novērtējuma ziņojumā lietotais termins “u.c.” liecina par nepilnīgi norādītu datu apjomu), kuru būs jāsniedz (vai kuru jādara pieejamu), lai Valsts ieņēmumu dienests pārbaudītu, vai komersants vai tā valdes loceklis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27.06.2023.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27.06.2023.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Atzinumi_22-TA-3111.docx</dc:title>
</cp:coreProperties>
</file>

<file path=docProps/custom.xml><?xml version="1.0" encoding="utf-8"?>
<Properties xmlns="http://schemas.openxmlformats.org/officeDocument/2006/custom-properties" xmlns:vt="http://schemas.openxmlformats.org/officeDocument/2006/docPropsVTypes"/>
</file>