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reklāmas objektu vai informācijas objektu izvietošanu gar ceļiem, kā arī kārtību, kādā saskaņojama reklāmas objektu vai informācijas objektu izvietošana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20.1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Pašvaldībās, kurās saskaņā ar Pašvaldību likuma 45. panta otrās daļas 4. punktu un Reklāmas likuma 7. panta trešo daļu ir izdoti saistošie noteikumi par reklāmas un informatīvo materiālu izvietošanu publiskās vietās un vietās, kas vērstas pret publisku vietu, papildus jāsaņem pašvaldības reklāmas/reklāmas objektu izvietošanas atļauja.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sniedzam priekšlikumu. Lūdzam skaidrot, kādēļ šis punkts izziņā ir kā "ņemts vērā", bet noteikumos neparādās.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diennakts gaišajā laikā izstarot gaismas daudzumu, kas pārsniedz spožumu 10000 cd/m2;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w:t>
            </w:r>
            <w:r w:rsidR="00000000" w:rsidRPr="00000000" w:rsidDel="00000000">
              <w:rPr>
                <w:b w:val="1"/>
                <w:rtl w:val="0"/>
              </w:rPr>
              <w:t xml:space="preserve">plašāku</w:t>
            </w:r>
            <w:r w:rsidR="00000000" w:rsidRPr="00000000" w:rsidDel="00000000">
              <w:rPr>
                <w:rtl w:val="0"/>
              </w:rPr>
              <w:t xml:space="preserve"> informāciju/skaidrojumu pēc būtības par 3.7., 3.8.punktā noteiktā spožuma daudzuma atbilstības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kontrolēs spilgtumu jaunajiem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paredzēts, ka to dara pašvaldības, vai un konkrēti </w:t>
            </w:r>
            <w:r w:rsidR="00000000" w:rsidRPr="00000000" w:rsidDel="00000000">
              <w:rPr>
                <w:b w:val="1"/>
                <w:rtl w:val="0"/>
              </w:rPr>
              <w:t xml:space="preserve">kādu iekārtu iegādi ir jāplāno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Varbūt ir plānots kāds cits kontroles mehānisms, kas pašvaldībām neuzliks papildus slogu materiālos tēriņos un cilvēkresursu piesaistē?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10.05.2024.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10.05.2024.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