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2017. gada 7. februāra noteikumos Nr. 78 "Dabasgāzes tirdzniecības un lietošanas noteikumi"" (turpmāk - noteikumu projekts)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plašāku problēmas aprakstu un pamatojumu nepieciešamībai paplašināt Ministru kabineta 2017. gada 7. februāra noteikumu Nr. 78 "Dabasgāzes tirdzniecības un lietošanas noteikumi" (turpmāk - noteikumi) 41.4. apakšpunktu. Proti, no anotācijā sniegtās informācijas nav saprotams, kādēļ kā juridiski saistošs nosacījums ir jānorāda dabasgāzes tirdzniecības līguma izbeigšanas iemesls (ja tas līdz šim nav bijis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aotācijas un noteikumu projekta nav saprotams, kāda informācija par gazificēto objektu, kurā plānots izbeigt spēkā esošo dabasgāzes tirdzniecības līgumu, personai ir jānorāda. Tādājādi lūgums skaidrot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ar noteikumu projektu paredzēts  ieviest dabasgāzes lietotājam jaunu pienākumu ziņot sadales sistēmas operatoram par intensīvas dabasgāzes lietošanas perioda sākumu un perioda beigām. Ar šī punkta pievienošanu noteikumiem godprātīga dabasgāzes lietotāja intereses netiek skartas, jo šo noteikumu 81. punkts joprojām paredz sadales sistēmas operatoram tiesības piekļūt lietotāja dabasgāzes apgādes sistēmai un komercuzskaites mēraparātiem. Tas nozīmē, ka gadījumos, ja </w:t>
            </w:r>
            <w:r w:rsidR="00000000" w:rsidRPr="00000000" w:rsidDel="00000000">
              <w:rPr>
                <w:u w:val="single"/>
                <w:rtl w:val="0"/>
              </w:rPr>
              <w:t xml:space="preserve">uzrādās intensīvs dabasgāzes patēriņš iemeslu dēļ, kas nav negodprātīgi</w:t>
            </w:r>
            <w:r w:rsidR="00000000" w:rsidRPr="00000000" w:rsidDel="00000000">
              <w:rPr>
                <w:rtl w:val="0"/>
              </w:rPr>
              <w:t xml:space="preserve">, sadales sistēmas operatoram ir iespēja piekļūt dabasgāzes apgādes sistēmai un pārliecināties par situāciju. Šie grozījumi uzlabo dabasgāzes lietotāja un sadales sistēmas operatora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ietvērt skaidrojumu tam, kas saprotams ar intensīvu dabas gāzes patēriņu, kas nav negodprātīgs, un kas un kā to var konstatēt.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94.</w:t>
            </w:r>
            <w:r w:rsidR="00000000" w:rsidRPr="00000000" w:rsidDel="00000000">
              <w:rPr>
                <w:vertAlign w:val="superscript"/>
                <w:rtl w:val="0"/>
              </w:rPr>
              <w:t xml:space="preserve">1</w:t>
            </w:r>
            <w:r w:rsidR="00000000" w:rsidRPr="00000000" w:rsidDel="00000000">
              <w:rPr>
                <w:rtl w:val="0"/>
              </w:rPr>
              <w:t xml:space="preserve">norma paredz personas datu apstrādi, aicinām papildināt anotāciju ar  informāciju par noteikumu projektā paredzēto personu datu apstrādi, norādot tiesisko pamatojumu personu datu apstrādei, proti, spēkā esošo ārējo normatīvo aktu (-us) un tā normu (-as), no kā ir izsecināma nepieciešamība apstrādāt personu datus noteikumu projektā paredzētajā veidā, kā arī sniedziet īsu un kodolīgu skaidrojumu par paredzēto personu datu apstrādi – kādu datu subjektu un kādus tieši datus paredz apstrādāt noteikumu projekts, kādos konkrētos nolūkos, datu glabāšanas termiņu un tā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2011. gada 19. aprīļa noteikumi Nr. 312 "Enerģijas lietotāju apgādes un kurināmā pārdošanas kārtība izsludinātas enerģētiskās krīzes laikā un valsts apdraudējuma gadījumā" ir zaudējuši spēku,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laikposms, par kuru konstatēts pārkāpums nepārsniedz 10 gadus. Ja gazificētajā objektā uzstādītā komercuzskaites mēraparāta darbības ilgums nepārsniedz 10 gadus, laikposms, par kuru konstatēts pārkāpums, nepārsniedz dabasgāzes komercuzskaites mēraparāta darbības ilgumu. Laikaposms 10 gadi izvēlēts konsultējoties ar sadales sistēmas operatoru, balstoties uz sadales sistēmas operatoram </w:t>
            </w:r>
            <w:r w:rsidR="00000000" w:rsidRPr="00000000" w:rsidDel="00000000">
              <w:rPr>
                <w:u w:val="single"/>
                <w:rtl w:val="0"/>
              </w:rPr>
              <w:t xml:space="preserve">labvēlīgajiem tiesas spriedumiem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iepriekš minēto informāciju ar atsaucēm uz attiecīgajiem tiesas spriedumiem.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Pārvades sistēmas operators vai cita persona, kas ievada sadales sistēmā dabasgāzi (tai skaitā biometānu, vai gāzveida stāvoklī pārvērsto sašķidrināto dabasgāzi), ir atbildīgi par sadales sistēmā ievadītās dabasgāzes atbilstību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ietvertajiem gāzes kvalitātes raksturlielumiem. Sadales sistēmas operators ir tiesīgs atteikt dabasgāzes vai aizvietotājgāzes transportēšanu dabasgāzes sadales tīklā, ja tā neatbilst minētajām kvalitātes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paredzēto noteikumu 80. punktu, lietojot vienu terminu, kas attiecas uz </w:t>
            </w:r>
            <w:r w:rsidR="00000000" w:rsidRPr="00000000" w:rsidDel="00000000">
              <w:rPr>
                <w:u w:val="single"/>
                <w:rtl w:val="0"/>
              </w:rPr>
              <w:t xml:space="preserve">dabasgāzi (tai skaitā biometānu, vai gāzveida stāvoklī pārvērsto sašķidrināto dabasgāzi)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kas ir noteikumu projektā paredzētajā noteikumu 80. punktā minētā </w:t>
            </w:r>
            <w:r w:rsidR="00000000" w:rsidRPr="00000000" w:rsidDel="00000000">
              <w:rPr>
                <w:u w:val="single"/>
                <w:rtl w:val="0"/>
              </w:rPr>
              <w:t xml:space="preserve">cita persona, kas ievada sadales sistēmā dabasgāzi (tai skaitā biometānu, vai gāzveida stāvoklī pārvērsto sašķidrināto dabasgāzi)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w:t>
            </w:r>
            <w:r w:rsidR="00000000" w:rsidRPr="00000000" w:rsidDel="00000000">
              <w:rPr>
                <w:rtl w:val="0"/>
              </w:rPr>
              <w:t xml:space="preserve"> Sadales sistēmas operatoram ir tiesības pieprasīt un saņemt no lietotāja un dabasgāzes tirgotāja lietotāja tālruņa numuru un e-pasta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94. punktā ir regulējums par sadales sistēmas operatora tiesībām pieprasīt un saņemt informāciju no lietotājiem un dabasgāzes tirgotājiem, ierosinām apvienot noteikumu 94. punktu un noteikumu projektā paredzēto noteikumu 94.</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05.11.2024.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05.11.2024.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