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Brīvprātīgās shēmas nodrošina, ka piegādes ķēdē iesaistītās personas pareizi ievada šā panta </w:t>
            </w:r>
            <w:r w:rsidR="00000000" w:rsidRPr="00000000" w:rsidDel="00000000">
              <w:rPr>
                <w:rtl w:val="0"/>
              </w:rPr>
              <w:t xml:space="preserve">(5) </w:t>
            </w:r>
            <w:r w:rsidR="00000000" w:rsidRPr="00000000" w:rsidDel="00000000">
              <w:rPr>
                <w:rtl w:val="0"/>
              </w:rPr>
              <w:t xml:space="preserve">daļā</w:t>
            </w:r>
            <w:r w:rsidR="00000000" w:rsidRPr="00000000" w:rsidDel="00000000">
              <w:rPr>
                <w:rtl w:val="0"/>
              </w:rPr>
              <w:t xml:space="preserve"> minētos datus, un Regulas 2022/996 2.panta 14.punktā minētās brīvprātīgo shēmu sertifikācijas institūcijas (turpmāk - sertifikācijas institūcijas) nodrošina ievadīto datu verifikāciju un datu precizitātes pārbaudi. Vienotais dabasgāzes pārvades un uzglabāšanas sistēmas operators pārbauda un apstiprina šā panta </w:t>
            </w:r>
            <w:r w:rsidR="00000000" w:rsidRPr="00000000" w:rsidDel="00000000">
              <w:rPr>
                <w:rtl w:val="0"/>
              </w:rPr>
              <w:t xml:space="preserve">(5) </w:t>
            </w:r>
            <w:r w:rsidR="00000000" w:rsidRPr="00000000" w:rsidDel="00000000">
              <w:rPr>
                <w:rtl w:val="0"/>
              </w:rPr>
              <w:t xml:space="preserve">daļas</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Savienības datubāzē ievadīto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“Conexus Baltic Grid” (turpmāk – Sabiedrība) ir iepazinusies ar Ministru kabineta Tiesību aktu portālā publicēto likumprojektu “Transporta enerģijas likums” (tiesību akta projekta ID 23-TA-1451) (turpmāk arī - likumprojekts) un pateicas par iepriekš vērā ņemtajiem iebildumiem, kā arī sniegtajiem skaidrojumiem. Vienlaikus Sabiedrība izsaka sekojošos apsvērumus un priekšlikumu likumprojekta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panta sestā daļa, cita starpā, noteic Sabiedrībai jaunu pienākumu – pārbaudīt un apstiprināt Savienības datubāzē [ekonomiskā operatora ievadītos] datus par biomasas degvielu ievadīšanu savstarpēji savienotā gāzes sistēmā, vienlaikus ievadot arī datus par biomasas degvielu (biometāna) izcelsmes apliecinājumiem, un biomasas degvielu izņemšanu no savstarpēji savienotās gāzes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vērš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atbilstoši Enerģētikas likumā noteiktajam, gāze izcelsmes apliecinājumu aprite un izdošana notiek atbilstoši Eiropas Enerģijas sertifikātu sistēmas jeb EECS noteikumiem, saskaņā ar kuriem izcelsmes apliecinājumus izdod ievērojot neto principu. Proti, gāzes izcelsmes apliecinājumus izdod nevis par sistēmā faktiski ievadīto gāzes daudzumu (bruto), bet gan atjaunīgās gāzes daudzumu (neto), ko aprēķina, no sistēmā ievadītā gāzes daudzuma atņemot zudumus un ražošanas iekārtu  patērēto enerģiju (izņemot atjaunīgo elektroenerģiju).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sistēmā ievadīto gāzi Sabiedrībai ir pieejama pastāvīgi, taču biometāna ražotājs gāzes izcelsmes apliecinājumu var pieprasīt 12 mēnešu laikā pēc gāzes vienības saražošanas, proporcionāli saīsinot izcelsmes apliecinājuma derīguma termiņu, ņemot vērā Enerģētikas likuma 117.</w:t>
            </w:r>
            <w:r w:rsidR="00000000" w:rsidRPr="00000000" w:rsidDel="00000000">
              <w:rPr>
                <w:vertAlign w:val="superscript"/>
                <w:rtl w:val="0"/>
              </w:rPr>
              <w:t xml:space="preserve">1</w:t>
            </w:r>
            <w:r w:rsidR="00000000" w:rsidRPr="00000000" w:rsidDel="00000000">
              <w:rPr>
                <w:rtl w:val="0"/>
              </w:rPr>
              <w:t xml:space="preserve"> panta piektajā daļā noteikto. Papildu, izcelsmes apliecinājums neizdod vienlaicīgi ar gāzes ievadi savstarpēji savienotajā sistēmā, bet tikai pēc ražotāja atbilstoša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Sabiedrība norāda, ka savstarpēji savienotajā gāzes sistēmā ievadītā biometāna daudzums atšķirsies no izsniegto izcelsmes apliecinājumu skaita, ievērojot neto uzskaites principus, kā arī noteiktā laika posmā sistēmā ievadītajam biometāna daudzumam var neatbilst izsniegto izcelsmes apliecinājumu skaits, ja ražotājs būs izvēlējies tos pieprasīt vēlāk, piemēram, divus mēnešus pēc biometāna saražošanas un ievadīšanas savstarpēji savienotajā gāzes sistēmā. Tā kā šobrīd iztrūkst viennozīmīgas skaidrības par Savienības datubāzes procesiem un veicamajām darbībām, tai skaitā to regularitāti, lūdzam Klimata un enerģētikas ministriju augstāk izklāstītos apsvērumus ņemt vērā saziņā ar Eiropas Komisiju par Savienības datubāzi, kā arī iekļaut tos likumprojekta anotācijā vispārēju principu un vienotas izpratnes nostiprināšanas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Kristiāns Poriņš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04.03.2024.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