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(Izdrukas no VVDZ un kadastra)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Koņu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apdzīvotās vietas nosaukumu, kurā atrodas nekustamais īpašums "Teimas 1" (nekustamā īpašuma kadastra Nr. 9666 004 0080).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w:t>
            </w:r>
            <w:r w:rsidR="00000000" w:rsidRPr="00000000" w:rsidDel="00000000">
              <w:rPr>
                <w:b w:val="1"/>
                <w:rtl w:val="0"/>
              </w:rPr>
              <w:t xml:space="preserve">Ķ</w:t>
            </w:r>
            <w:r w:rsidR="00000000" w:rsidRPr="00000000" w:rsidDel="00000000">
              <w:rPr>
                <w:rtl w:val="0"/>
              </w:rPr>
              <w:t xml:space="preserve">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apdzīvotās vietas nosaukumu, kurā atrodas atsavināmais valsts nekustamais īpašums "Teimas 1" (nekustamā īpašuma kadastra Nr. 96660040080) -  </w:t>
            </w:r>
            <w:r w:rsidR="00000000" w:rsidRPr="00000000" w:rsidDel="00000000">
              <w:rPr>
                <w:b w:val="1"/>
                <w:rtl w:val="0"/>
              </w:rPr>
              <w:t xml:space="preserve">Ķoņu</w:t>
            </w:r>
            <w:r w:rsidR="00000000" w:rsidRPr="00000000" w:rsidDel="00000000">
              <w:rPr>
                <w:rtl w:val="0"/>
              </w:rPr>
              <w:t xml:space="preserve"> pagasts, Valmieras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attiecībā uz rīkojuma projektā minēto nekustamo īpašumu pārdošanu ir attiecināmi likumos noteiktie ierobežojumi darījumiem ar zemi lauku apvidū vai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Publiskas personas mantas atsavināšanas likuma 2</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w:t>
            </w:r>
            <w:r w:rsidR="00000000" w:rsidRPr="00000000" w:rsidDel="00000000">
              <w:rPr>
                <w:rtl w:val="0"/>
              </w:rPr>
              <w:t xml:space="preserve">aprakstā norādīts, ka anotācijā minētajiem nekustamajiem īpašumiem noteiktie apgrūtinājumi neradīs ietekmi uz minēto nekustamo īpašumu turpmāko izmantošanu </w:t>
            </w:r>
            <w:r w:rsidR="00000000" w:rsidRPr="00000000" w:rsidDel="00000000">
              <w:rPr>
                <w:u w:val="single"/>
                <w:rtl w:val="0"/>
              </w:rPr>
              <w:t xml:space="preserve">tā valdītāja</w:t>
            </w:r>
            <w:r w:rsidR="00000000" w:rsidRPr="00000000" w:rsidDel="00000000">
              <w:rPr>
                <w:rtl w:val="0"/>
              </w:rPr>
              <w:t xml:space="preserve"> maiņas gadījumā. Ņemot vērā, ka rīkojuma projekta 3. punkts paredz pēc valdītāja maiņas visus rīkojuma projekta 1. punktā minētos nekustamo īpašumus pārdot izsolē, lūdzam anotācijā skaidrot arī attiecīgo apgrūtinājumu ietekmi uz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vienveidīgu analoģisku rīkojuma projektu izvērtēšanas, izstrādes un saskaņošanas praksi aicinām anotāciju papildināt ar šādu informāciju (sk., piemēram, Ministru kabineta 2024. gada 29. maija rīkojuma Nr.403 "Par valsts nekustamā īpašuma Tulpju ielā 23, Jēkabpilī, Jēkabpils novadā, pārdošanu" sākotnējās ietekmes (ex-ante) novērtējuma ziņojuma (anotācijas) 1.6. apakšsadaļu: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14.06.2024.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24-TA-1079</w:t>
    </w:r>
    <w:r>
      <w:br/>
    </w:r>
    <w:r w:rsidR="00000000" w:rsidRPr="00000000" w:rsidDel="00000000">
      <w:rPr>
        <w:rtl w:val="0"/>
      </w:rPr>
      <w:t xml:space="preserve">Izdrukāts 14.06.2024.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Atzinumi_24-TA-1079.docx</dc:title>
</cp:coreProperties>
</file>

<file path=docProps/custom.xml><?xml version="1.0" encoding="utf-8"?>
<Properties xmlns="http://schemas.openxmlformats.org/officeDocument/2006/custom-properties" xmlns:vt="http://schemas.openxmlformats.org/officeDocument/2006/docPropsVTypes"/>
</file>