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augusta noteikumos Nr. 537 "Sadzīves atkritumu masas un tilpuma attiecības mērījumu veikšanas kārtība un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SARDZE"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Sadzīves atkritumu masas un tilpuma attiecības mērījumu veikšanas kārtība un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redakciju, jo piedāvātais 3.3. apakšpunkts nenovērš pastāvošo nešķiroto sadzīves atkritumu uzskaites problēmu, bet nostiprina paralēlu uzskaiti dažādās mērvienībās un tās neatbilstību mēģina novērst ar jaunu pārrēķina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39. panta piektā daļa jau nosaka, ka atkritumu apsaimniekotājs nodrošina savākto, reģenerācijai nodoto un poligonā nodoto sadzīves atkritumu masas noteikšanu tonnās. Arī MK noteikumi Nr. 292 paredz apsaimniekotāja pienākumu pašvaldībai sniegt informāciju par savākto sadzīves atkritumu masu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saprotams un projekta anotācijā nav pietiekami pamatots, kādēļ jaunajā 3.3. apakšpunktā tā sauktās “faktiskās” masas un tilpuma attiecības noteikšanai paredzēts izmantot apsaimniekotāja uzrādīto savākto atkritumu apjomu m³ un AARC pieņemto masu tonnās, ja apsaimniekotājam savākto atkritumu masa tonnās jau ir obligāti nosakāma.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3.3. apakšpunktā paredzētais aprēķins pēc būtības nav faktisks masas un tilpuma attiecības mērījums. Tiek savstarpēji attiecināti divi gada kopsavilkuma rādītāji, kas iegūti dažādos atkritumu apsaimniekošanas ķēdes posmos un no dažādiem datu avotiem. Projekts nenodrošina pietiekamu audita pēdu, kas pierādītu, ka apsaimniekotāja deklarētie m³ un AARC pieņemtās tonnas attiecas uz pilnīgi identisku atkritumu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būtiski, jo starp savākšanu un pieņemšanu AARC iespējama pārkraušana, uzglabāšana, plūsmu apvienošana vai novirzīšana, kā arī masas izmaiņas. Tādēļ gada m³ dalījums ar AARC gada tonnām ir aprēķināts vidējais koeficients, nevis “faktiskā” masas un tilpuma attiecība.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būtiskāk – piedāvātā metode nespēj identificēt kļūdu sākotnējā m³ uzskaitē. Ja apsaimniekotāja deklarētais tilpums ir neprecīzs, šī neprecizitāte automātiski tiek iestrādāta jaunajā koeficientā. Tādējādi rodas pašreferenciāla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apsaimniekotāja deklarētie m³ → AARC tonnas → koeficients → m³ pārrēķins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metode nevis pārbauda sākotnējos tilpuma datus, bet izmanto tos par pamatu koeficientam, kas turpmāk var ietekmēt arī atkritumu apsaimniekošanas maksas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nepieņemami tas ir tādēļ, ka iedzīvotājam pakalpojums tiek uzskaitīts pēc tilpuma, savukārt atkritumu apsaimniekošanas ķēdes turpmākajos posmos atkritumu daudzums tiek uzskaitīts masas vienībās. Rezultātā vienas atkritumu plūsmas daudzums nav vienoti un nepārtraukti izsekojams no tās savākšanas līdz nodošanai, apstrādei, reģenerācijai vai apglabāšanai.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pašreizējā redakcijā neatbalstīt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 kādēļ 3.3. apakšpunkta aprēķinā netiek izmantota Atkritumu apsaimniekošanas likuma 39. panta piektajā daļā jau obligāti nosakāmā savākto atkritumu faktiskā masa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 ar konkrētu metodoloģiju, datiem un pieļaujamās kļūdas novērtējumu, kādēļ divu dažādos apsaimniekošanas posmos iegūtu gada kopsavilkuma rādītāju attiecība tiek normatīvajā aktā definēta kā “faktiskā” masas un tilpuma attiecība;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tādu uzskaites un audita sistēmu, kas ļauj vienu un to pašu atkritumu plūsmu izsekot no savākšanas līdz AARC, apstrādei, reģenerācijai vai apglabāšanai, nepieļaujot neatbilstību slēpšanu ar vidējiem pārrēķina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normatīvajā regulējumā konkrētu pārejas periodu un termiņu vienotai faktiskās masas uzskaitei visā nešķiroto sadzīves atkritumu apsaimniekošanas ķēdē, nevis ieviest arvien jaunas metodes m³ pārrēķināšanai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KEM uzskata, ka pāreja uz vienotu masas uzskaiti nav nepieciešama vai nav iespējama, lūdzam anotācijā sniegt tehnisku, ekonomisku un juridisku pamatojumu, tostarp izmaksu salīdzinājumu starp faktiskās masas uzskaites ieviešanu un pašreizējās divu mērvienību sistēmas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mērķim jābūt vienkāršam un pārbaudāmam: viens atkritumu daudzums – viena izsekojama uzskaite. Situācija, kurā iedzīvotājs nodod m³, apsaimniekotājs tos uzskaita tilpumā, bet AARC pieņem tonnas un neatbilstība starp šiem lielumiem tiek risināta ar aprēķinātiem koeficientiem, nenodrošina ne pietiekamu caurskatāmību, ne pārbaudāmību.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3.3. apakšpunkts šo sistēmisko problēmu neatrisina – tas to nostiprina.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Veide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11.08.2026.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11.08.2026.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Atzinumi_25-TA-2648.docx</dc:title>
</cp:coreProperties>
</file>

<file path=docProps/custom.xml><?xml version="1.0" encoding="utf-8"?>
<Properties xmlns="http://schemas.openxmlformats.org/officeDocument/2006/custom-properties" xmlns:vt="http://schemas.openxmlformats.org/officeDocument/2006/docPropsVTypes"/>
</file>