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24-TA-2422: Instrukcijas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10. aprīļa instrukcijā Nr. 2 "Instrukcija par valsts budžeta izpildes analīzi"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Veidlapā "Mērķfinansējuma izpildes analīze" ministrijas analizē un sniedz skaidrojumu par mērķfinansējuma ieņēmumu un izdevumu plānu izpildi pārskata periodā. Ja informācija par faktisko izpildi pārskata periodā nav pieejama, sniedz izpildes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cik gadus pēc kārtas tiek sniegta </w:t>
            </w:r>
            <w:r w:rsidR="00000000" w:rsidRPr="00000000" w:rsidDel="00000000">
              <w:rPr>
                <w:i w:val="1"/>
                <w:rtl w:val="0"/>
              </w:rPr>
              <w:t xml:space="preserve">Mērķfinansējuma izpildes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Kazaka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aizpilda aiļu grupu "Ieņēmumi" – budžeta klasifikācijas kods un nosaukums, mērķfinansējuma nosaukums, plāns un izpilde (vai izpildes novērtējums) </w:t>
            </w:r>
            <w:r w:rsidR="00000000" w:rsidRPr="00000000" w:rsidDel="00000000">
              <w:rPr>
                <w:i w:val="1"/>
                <w:rtl w:val="0"/>
              </w:rPr>
              <w:t xml:space="preserve">euro</w:t>
            </w:r>
            <w:r w:rsidR="00000000" w:rsidRPr="00000000" w:rsidDel="00000000">
              <w:rPr>
                <w:rtl w:val="0"/>
              </w:rPr>
              <w:t xml:space="preserve"> un procentos;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16.1. un 16.2. apakšpunkti paredz, ka ministrijas </w:t>
            </w:r>
            <w:r w:rsidR="00000000" w:rsidRPr="00000000" w:rsidDel="00000000">
              <w:rPr>
                <w:i w:val="1"/>
                <w:rtl w:val="0"/>
              </w:rPr>
              <w:t xml:space="preserve">Mērķfinansējuma izpildes analīzē</w:t>
            </w:r>
            <w:r w:rsidR="00000000" w:rsidRPr="00000000" w:rsidDel="00000000">
              <w:rPr>
                <w:rtl w:val="0"/>
              </w:rPr>
              <w:t xml:space="preserve"> aizpilda ieņēmumu un izdevumu plānu un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w:t>
            </w:r>
            <w:r w:rsidR="00000000" w:rsidRPr="00000000" w:rsidDel="00000000">
              <w:rPr>
                <w:i w:val="1"/>
                <w:rtl w:val="0"/>
              </w:rPr>
              <w:t xml:space="preserve">ePārskatos būs pieejami finanšu dati, par kuriem ministrijām jāveic izpildes analīze.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izvairoties no manuālām darbībām, lūdzam izskatīt iespējas automatizēt procesus, nodrošinot, ka  plānotās vērtības ir iekļautas veidlapā.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Kazaka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Instrukcijas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Veidlapā "Rezultātu, to rezultatīvo rādītāju un prioritāro pasākumu izpildes analīze" ministrijas vidējam termiņam norāda rezultatīvos rādītājus, kas norādīti likumam par valsts budžetu kārtējam gadam un vidēja termiņa budžeta ietvaru pievienotajos paskaidrojumos (politikas un resursu vadības kartēs, prioritāro pasākumu tabulā un budžeta programmu (apakšprogrammu) sadaļā) un sniedz informāciju par valsts budžeta rezultātu, to rezultatīvos rādītāju un prioritāro pasākumu izpildi pārskata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mazināšanai, izvairoties no manuālām darbībām, lūdzam izskatīt iespējas automatizēt procesus, nodrošinot, ka  plānotās vērtības, kuras ir norādītas likumam par valsts budžetu kārtējam gadam un vidēja termiņa budžeta ietvaru pievienotajos paskaidrojumos (politikas un resursu vadības kartēs, prioritāro pasākumu tabulā un budžeta programmu (apakšprogrammu) sadaļā) ir iekļautas veidlapā.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Kazaka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24-TA-2422</w:t>
    </w:r>
    <w:r>
      <w:br/>
    </w:r>
    <w:r w:rsidR="00000000" w:rsidRPr="00000000" w:rsidDel="00000000">
      <w:rPr>
        <w:rtl w:val="0"/>
      </w:rPr>
      <w:t xml:space="preserve">Izdrukāts 06.03.2025.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Atzinumi_24-TA-2422.docx</dc:title>
</cp:coreProperties>
</file>

<file path=docProps/custom.xml><?xml version="1.0" encoding="utf-8"?>
<Properties xmlns="http://schemas.openxmlformats.org/officeDocument/2006/custom-properties" xmlns:vt="http://schemas.openxmlformats.org/officeDocument/2006/docPropsVTypes"/>
</file>