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Finansējumu pasākuma ietvaros izmaksā ar atbildīgās iestādes apstiprināto un vadošās iestādes saskaņoto vienas vienības izmaksu likmju aprēķina un piemērošanas metodiku (turpmāk - metodika) granta veidā, piemērojot vienkāršoto izmaksu iespējas ar vienas vienības izmaksu likmēm atbilstoši Eiropas Parlamenta un Padomes Regulas (ES) 2021/1060 (2021. gada 24. jūnijs), </w:t>
            </w:r>
            <w:r w:rsidR="00000000" w:rsidRPr="00000000" w:rsidDel="00000000">
              <w:rPr>
                <w:i w:val="1"/>
                <w:rtl w:val="0"/>
              </w:rPr>
              <w:t xml:space="preserve">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000000" w:rsidRPr="00000000" w:rsidDel="00000000">
              <w:rPr>
                <w:rtl w:val="0"/>
              </w:rPr>
              <w:t xml:space="preserve"> (turpmāk – Regula Nr.2021/1060) 53.panta 1.punkta b) 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iespējams korekti izvērtēt noteikumu projektu, jo nav zināms, kas būs vadošā iestāde, un kāda būs atbildīgās iestādes apstiprinātā un vadošās iestādes saskaņotā metodika. Nav saprotams, kādi 47. un 59.punktā minētie rādītāji jāsasniedz, “piemērojot vienas vienības izmaksu likmes un metodikā noteiktos aprēķinus un nosacījumus to noteikšanai” (48.punkts). Līdz ar to nav iespējams izvērtēt riskus vai un kādā apmērā grantu varēs saņemt.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norādīt vadošo iestādi, noteikumu projektam pievienot izstrādātu metodiku.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Eiropas Reģionālās attīstības fonda finansējuma apmērs projektā nepārsniedz 4400 </w:t>
            </w:r>
            <w:r w:rsidR="00000000" w:rsidRPr="00000000" w:rsidDel="00000000">
              <w:rPr>
                <w:i w:val="1"/>
                <w:rtl w:val="0"/>
              </w:rPr>
              <w:t xml:space="preserve">euro</w:t>
            </w:r>
            <w:r w:rsidR="00000000" w:rsidRPr="00000000" w:rsidDel="00000000">
              <w:rPr>
                <w:rtl w:val="0"/>
              </w:rPr>
              <w:t xml:space="preserve"> uz vienu dzīvesvietas adresē dzīvojamā mājā vai dzīvokļu īpašumu mājsaimniecībā deklarēto iedzīvotāju, kurā tiek īstenotas projekta aktivitātes (turpmāk - deklarētie iedzīvotāji),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w:t>
            </w:r>
            <w:r w:rsidR="00000000" w:rsidRPr="00000000" w:rsidDel="00000000">
              <w:rPr>
                <w:b w:val="1"/>
                <w:rtl w:val="0"/>
              </w:rPr>
              <w:t xml:space="preserve">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 darīt, ja ēkā ir, piemēram, četri dzīvokļi un pirmajā stāvā nedzīvojamās telpas, kurās iedzīvotāji parasti nedeklarējas.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attiecībā uz nedzīvojamām telpām dzīvojamā mājā ir summas ierobežojums, piemēram, 10 000 euro  vai 100 euro/m2 un ir jāizpildās de minimis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dzīvojamās mājas esošā siltumapgāde attiecībā uz projektā uzstādāmajām siltumapgādes iekārtām vismaz pēdējos trīs kalendāros gadus ir nodrošināta ar biomasas cieto kurināmo šo noteikumu </w:t>
            </w:r>
            <w:r w:rsidR="00000000" w:rsidRPr="00000000" w:rsidDel="00000000">
              <w:rPr>
                <w:rtl w:val="0"/>
              </w:rPr>
              <w:t xml:space="preserve">18.1.</w:t>
            </w:r>
            <w:r w:rsidR="00000000" w:rsidRPr="00000000" w:rsidDel="00000000">
              <w:rPr>
                <w:rtl w:val="0"/>
              </w:rPr>
              <w:t xml:space="preserve"> un </w:t>
            </w:r>
            <w:r w:rsidR="00000000" w:rsidRPr="00000000" w:rsidDel="00000000">
              <w:rPr>
                <w:rtl w:val="0"/>
              </w:rPr>
              <w:t xml:space="preserve">18.2.</w:t>
            </w:r>
            <w:r w:rsidR="00000000" w:rsidRPr="00000000" w:rsidDel="00000000">
              <w:rPr>
                <w:rtl w:val="0"/>
              </w:rPr>
              <w:t xml:space="preserve"> apakšpunktā noteiktajās klasēs, bet šo noteikumu </w:t>
            </w:r>
            <w:r w:rsidR="00000000" w:rsidRPr="00000000" w:rsidDel="00000000">
              <w:rPr>
                <w:rtl w:val="0"/>
              </w:rPr>
              <w:t xml:space="preserve">18.3.</w:t>
            </w:r>
            <w:r w:rsidR="00000000" w:rsidRPr="00000000" w:rsidDel="00000000">
              <w:rPr>
                <w:rtl w:val="0"/>
              </w:rPr>
              <w:t xml:space="preserve"> apakšpunktā noteiktajā klasē – tiek nodrošināta ar akmeņoglēm, kūdru vai biomasas cieto kurināmo. Ja šo noteikumu </w:t>
            </w:r>
            <w:r w:rsidR="00000000" w:rsidRPr="00000000" w:rsidDel="00000000">
              <w:rPr>
                <w:rtl w:val="0"/>
              </w:rPr>
              <w:t xml:space="preserve">18.3.</w:t>
            </w:r>
            <w:r w:rsidR="00000000" w:rsidRPr="00000000" w:rsidDel="00000000">
              <w:rPr>
                <w:rtl w:val="0"/>
              </w:rPr>
              <w:t xml:space="preserve"> apakšpunktā minētajā dzīvojamā mājā siltumapgāde tiek nodrošināta ar akmeņoglēm, kūdru vai biomasas cieto kurināmo vismaz 50% dzīvokļu īpašumos, projektu var īstenot arī dzīvokļu īpašumos, kuros tiek patērēti citi energoresursi siltumapgādes nodrošināšanai, nodrošinot dzīvojamā mājā vienotu siltumapgādes risinājumu projekta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kādā veidā projekta iesniedzējs to varēs pierādīt.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kura atbilst E klasei vai efektīvākai klasei atbilstoši 2021. gada 8. aprīļa Ministru kabineta noteikumu Nr.222 “Ēku energoefektivitātes aprēķina metodes un ēku energosertifikācijas noteikumi” 3.pielikuma 1.tabulai;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mazāk energoefektīva ēka tiek kurināta ar cieto kurināmo, jo vairāk kaitīgo izmešu tiek radīts. Tāpēc nav skaidrs, kāpēc ēkas energoefektivitāte tiek ierobežota ar E klasi? Sanāk, ka visvairāk piesārņojošās ēkas turpinās to darīt un tas nav savienojams ar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23.4.apakšpunktu.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 kuras nepieciešamā siltumapgādes nominālā jauda nepārsniedz 50 kilovatus (kW).</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kāds ieguvums ir no šāda ierobežojuma. Piemēram, ja mājā ir 10 dzīvokļi un katram vidēji nepieciešami 6 kW, tad māja neklasificējas, jo nepieciešami 60 kW.</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23.5.punktu.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Rīgas domes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projekta 2.punktu, 2.2.3.6. pasākuma mērķis ir samazināt gaisa piesārņojuma radīto negatīvo ietekmi uz vidi un cilvēku veselību, veicot mājsaimniecību sektora dzīvojamās mājās  siltumapgādē izmantoto sadedzināšanas iekārtu aizstāšanu, uzlabojot individuālo siltumapgādes sistēmu efektivitāti, ieviešot tehnoloģijas, kas būtiski samazina gaisa piesārņojumu, tai skaitā dzīvojamās mājas pieslēdzot efektīvām pilsētu centralizētajām siltumapgādes sistēmām. Papildus minētajam VARAM MK noteikumu anotācijā jau norāda, ka 2.2.3.6. pasākuma mērķteritorija ir Latvijas Republikas valstspilsētu un novadu pilsētu teritorijām, jo tajās ir visaugstākais gaisa piesārņojuma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Rīgas domes izstrādātajai Rīgas pilsētas gaisa kvalitātes uzlabošanas rīcības programmai 2021. – 2025.gadam[1] vislielākais daļiņu PM10 un PM2,5 koncentrācijas līmenis (vidēji pārsniedz apakšējo novērtēšanas slieksni) ir tieši Rīgas pilsētas Centra, Vecpilsētas, Pārdaugavas, Teikas rajonos u.c.[2], kuros galvenais piesārņojuma avots ir tieši mājsaimniecību individuālās apkures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MK noteikumu 23.5.apakšpunktam, kurā ir noteikts, ka siltumapgādes nominālā jauda nevar pārsniegt 50 kilovatus, tad no 2.2.3.6. pasākuma tiek izslēgts liels skaits ēku, it īpaši daudzdzīvokļu ēkas, kas pārsniedz 800 m2. Vēršam uzmanību, ka iepriekšminētajos Rīgas pilsētas rajonos ir liels ēku skaits, kuras ir aprīkotas ar malkas krāsnīm, tad 2.2.3.6.pasākumā ierobežojot jaudu līdz 50 kW, šādas ēkas tiek izslēgtas no atbalsta programmas. No 11699 ēkām aptuveni 5700 ēkas ir pieslēgtas pie centralizētās siltumapgādes. Pārējās ēkās aptuveni puse ir dabasgāze un otra puse biomasa. Lai arī atlikušajās ēkās platība ir dažāda, liels skaits ēku no nepieslēgtajām ēkām centralizētam siltumapgādes tīklam atrodas tieši pilsētas centrā, kuru platība ir lielāka par 800 m2. Rezultātā gaisa piesārņojuma samazinājums Rīgas pilsētas rajonos būs nebūtisks. Tāpēc aicinām VARAM paredzēt mērķorientētas investīcijas gaisa piesārņojuma samazināšanai un noteikt jaudu atbilstoši vienam m2, vienam dzīvoklim, vai izslēgt 23.5.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projekts pašreizējā redakcijā veicinās gaisa piesārņojuma samazināšanas tajos Rīgas pilsētas rajonos, kuros ir liels skaits mazdzīvokļu un privātmājas, nevis rajonos kuros ir būtiska gaisa piesārņojuma koncentrācija.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daļēji gaisa piesārņojuma daļiņu PM10 un PM2,5 koncentrācijas līmeņa samazinājumu risina grozījumi 2022. gada 1. marta Ministru kabineta noteikumos Nr. 150 "Emisijas kvotu izsolīšanas instrumenta finansēto projektu atklāta konkursa "Siltumnīcefekta gāzu emisiju samazināšana mājsaimniecībās – atbalsts atjaunojamo energoresursu izmantošanai" nolikums" (turpmāk - EKII), kas atļauj daudzdzīvokļu ēkas pieslēgt pie centralizētās siltumapgādes sistēmas. Taču mūsu ieskatā grozījumi nerisina pilnībā problēmu, jo EKII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daudzdzīvokļu ēkās nav attiecināma sadales sistēmas izveide vai atjaunošana, tai skaitā karstā ūdens sistēma, kas MK noteikumu projektā ir iekļautas 42.3. punktā. Līdz ar to ēkas, kurās ir malkas vai gāzes apkure visticamāk nepieteikties minētajai programmai;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EKII noteikumos nav iekļautas aktivitātes, kas vērstas uz daudzdzīvokļu ēkām gaisa piesārņojuma mazināšanai, 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siltumsūkņa (zeme-ūdens, ūdens-ūdens vai gaiss-ūdens) iegāde un papildus aktivitātes, tai skaitā saules paneļu uzstādīšana (MK noteikumu 42.2.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siltumsūkņa (gaiss-gaiss) iegādei un uzstādīšana un papildus aktivitātes, tai skaitā saules paneļu uzstādīšana (MK noteikumu 42.4.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koksnes biomasas apkures katla, kas piemērots granulu kurināmajam, iegāde un papildus aktivitātes, tai skaitā saules paneļu uzstādīšana ( 42.1.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un MK noteikumos iekļautās aktivitātes ir atbilstoši pasākumi Rīgas gaisa piesārņojuma zonējumam gaisa piesārņojuma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[1]https://environment.lv/assets/upload/PDF/Rigas%20gaisa%20programma/R%C4%ABgas%20pils%C4%93tas%20gaisa%20kvalit%C4%81tes%20uzlabo%C5%A1anas%20r%C4%ABc%C4%ABbas%20programma%202021-2025.pdf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[2]https://environment.lv/assets/upload/PDF/Rigas%20gaisa%20programma/R%C4%ABgas%20pils%C4%93tas%20gaisa%20kvalit%C4%81tes%20uzlabo%C5%A1anas%20r%C4%ABc%C4%ABbas%20programma%202021-2025.pdf 5.5.2. attēls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Projekta iesniedzējs izpilda nepieciešamās prasības horizontālo principu “Nenodarīt būtisku kaitējumu” un “Klimatdrošināšana” un Eiropas Savienības un Latvijas Republikas normatīvo tiesību aktu vides aizsardzības jomā ievērošanai,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41.punkta redakcija uzliek pārāk lielu tiesisko atbildību projekta iesniedzējam, jo lielākā pasākuma mērķa grupa nepārzin  visus Eiropas Savienības un Latvijas Republikas normatīvo tiesību aktus vides aizsardzības jomā. Kopumā, iepazīstoties ar 41.punkta prasībām, dzīvokļa vai mājas īpašnieks sapratīs, ka ir lielāka iespēja grantu nesaņemt, nekā saņemt.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Iesniedzot projekta pieteikumu, atbildīgā iestāde pārbauda vai dokumentācija atbilst naudas devēju izvirzītajiem nosacījumiem un tiek noteikti konkrēti punkti, kas jāiekļauj līgumos par būvniecību vai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ja projekta ietvaros plānota koksnes biomasas apkures katla, kas piemērots granulu kurināmajam iegāde, projekta iesniedzējs apliecina, ka kā kurināmo izmantos biomasas kurināmo no mazvērtīgās koksnes un koksnes atlikumiem (koksnes granulas);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kādā veidā šo prasību ir iespējams ievērot. Tādā gadījumā ir jāaizliedz ražot un tirgot biomasas kurināmo, kas nav no mazvērtīgās koksnes un koksnes atlikumiem, jo maz ticams, ka tirgotājs tādu apliecinājumu varēs izsniegt. Savukārt piecu gadu laikā pēc projekta īstenošanas atbrauks pārbaude un piemēros finanšu korekciju.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projektā paredzēts īstenot aktivitātes, kas nodrošina klimata pārmaiņu mazināšanu, t.i. siltumnīcefekta gāzu emisiju samazināšanu vai atjaunojamo energoresursu tehnoloģiju ieviešanu, kā arī projekts atbilst horizontālā principa “Energoefektivitāte pirmajā vietā”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 tieši, lai dzīvokļa īpašnieks šo horizontālo principu ievēro?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41.5. projektā tiek nodrošināta atbilstība pielāgošanās klimata pārmaiņām aspektiem;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 tieši, lai dzīvokļa īpašnieks šo prasību izpilda?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Projektā iekļauj šādas atbalstāmās darbības un ir attiecināmas šādas izmaksas, sekmējot šo noteikumu </w:t>
            </w:r>
            <w:r w:rsidR="00000000" w:rsidRPr="00000000" w:rsidDel="00000000">
              <w:rPr>
                <w:rtl w:val="0"/>
              </w:rPr>
              <w:t xml:space="preserve">5.</w:t>
            </w:r>
            <w:r w:rsidR="00000000" w:rsidRPr="00000000" w:rsidDel="00000000">
              <w:rPr>
                <w:rtl w:val="0"/>
              </w:rPr>
              <w:t xml:space="preserve"> punktā minēto uzraudzības rādītāju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Rīgas domes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42. punktā attiecināmās izmaksās visu fosilo kurināmo nomaiņai, tai skaitā dabasgāzes apkures katlu nomaiņai, lai investīcijas būtu mērķorientētas gaisa kvalitātes uzlabošanai tieši tajos pilsētu rajonos, kuros problēma ir visaktuālākā. Norādām, ka Gaisa piesārņojuma samazināšanas rīcības plāns 2020.-2030. gadam paredz arī NOx samazināšanu, bet Eiropas Savienības kohēzijas politikas programma 2021.–2027.gadam Klimata neitralitātes atbalstošas aktivitātes CO2 emisiju samazināšanai, savukārt energoneatkarība definēta kā valsts prioritāte.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Avansa maksājums finansējuma saņēmējam nav paredzēts.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bez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Ļoti maz ticams, ka dzīvokļu īpašniekiem būs iespēja projektu realizēt par saviem brīvajiem līdzekļiem. Ja viena vai vairāku dzīvokļu dzīvojamo ēku dzīvokļu īpašniekiem ir jau esošas kredītsaistības, negatīva kredītvēsture vai pastāv citi iemesli, kuru dēļ kredītiestāde var atteikt izsniegt aizdevumu var atteikt, tad projektu realizēt nevar. Ja vairākiem dzīvokļu īpašniekiem ir kredītsaistības dažādās kredītiestādēs un tie būs vienojušies ņemt aizdevumu kādā konkrētā kredītiestādē, tad būs nepieciešams saņemt kreditoru piekrišanu, kas var izrādīties neiespējami. Daudzdzīvokļu mājām pastāv iespēja vērsties valsts attīstības finanšu institūcijā “Altum” (turpmāk – Altum) pēc Daudzdzīvokļu māju remonta aizdevuma (arī saņemot kreditoru piekrišanas), tomēr, pēc vairāku ēku apsaimniekotāju paustā, arī šī programma nav klientiem draudzīga un apsaimniekotāji to neizmanto. Arī Altum mājas lapā nav informācijas par šīs programmas izmantošanas apmēriem.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Liepājas valstspilsētas pašvaldības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avansa maksājumu un iespēju norēķināties pēc paveiktajiem darbiem, kā prioritāro nosakot klienta līdzdalības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17.02.2023.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17.02.2023.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Atzinumi_22-TA-2565.docx</dc:title>
</cp:coreProperties>
</file>

<file path=docProps/custom.xml><?xml version="1.0" encoding="utf-8"?>
<Properties xmlns="http://schemas.openxmlformats.org/officeDocument/2006/custom-properties" xmlns:vt="http://schemas.openxmlformats.org/officeDocument/2006/docPropsVTypes"/>
</file>