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21. decembra noteikumos Nr. 896 "Emisijas kvotu izsolīšanas instrumenta finansēto projektu atklāta konkursa "Siltumnīcefekta gāzu emisijas samazināšana transporta sektorā – atbalsts bezemisiju un mazemisiju transportlīdzekļu iegādei"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jaunu rūpnieciski ražotu M1 un N1 kategorijas elektromobiļu iegāde, kuriem atbilstības sertifikātā atbilstoši normatīvajam aktam par riteņu transportlīdzekļu un to sastāvdaļu atbilstības novērtēšanu norādītais nobraukums pilsētas apstākļos starp pilnas uzlādes reizēm ir vismaz 150 km un transportlīdzekļu maksimālais ātrums ir vismaz 90 km/h. Ja atbilstības sertifikātā nav norādīts nobraucamais attālums starp uzlādes reizēm, komersants, kas normatīvajos aktos noteiktajā kārtībā ierīkojis un reģistrējis transportlīdzekļu tirdzniecības vietu un ir transportlīdzekļa izgatavotāja oficiālais pārstāvis, sagatavo un vienlaikus ar šo noteikumu </w:t>
            </w:r>
            <w:r w:rsidR="00000000" w:rsidRPr="00000000" w:rsidDel="00000000">
              <w:rPr>
                <w:rtl w:val="0"/>
              </w:rPr>
              <w:t xml:space="preserve">29.1. </w:t>
            </w:r>
            <w:r w:rsidR="00000000" w:rsidRPr="00000000" w:rsidDel="00000000">
              <w:rPr>
                <w:rtl w:val="0"/>
              </w:rPr>
              <w:t xml:space="preserve">apakšpunktā</w:t>
            </w:r>
            <w:r w:rsidR="00000000" w:rsidRPr="00000000" w:rsidDel="00000000">
              <w:rPr>
                <w:rtl w:val="0"/>
              </w:rPr>
              <w:t xml:space="preserve"> minēto projekta iesniegumu veidni iesniedz Vides investīciju fondā apliecinājumu, ka transportlīdzeklis pilsētas apstākļos starp pilnas uzlādes reizēm spēj veikt vismaz 150 km nobraukumu. Šo noteikumu izpratnē ar jaunu elektromobili saprot automobili, kas ir lietots mazāk par sešiem mēnešiem vai nobraucis mazāk par 6000 km;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projekta 2.punktā ("normatīvajos aktos noteiktajā kārtībā ierīkojis un reģistrējis transportlīdzekļu tirdzniecības vietu") un citos līdzīgos gadījumos norādīt konkrētu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projekta iesnieguma iesniedzējam vai atbalsta saņēmējam ar tiesas nolēmumu ir pasludināts maksātnespējas process vai tiek īstenots tiesiskās aizsardzības process, ar tiesas lēmumu tiek īstenots ārpustiesas tiesiskās aizsardzības process, ir uzsākta bankrota procedūra, piemērota sanācija vai mierizlīgums;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precizējuma veikšanu Ministru kabineta 2021. gada 21. decembra noteikumu Nr. 896 "Emisijas kvotu izsolīšanas instrumenta finansēto projektu atklāta konkursa "Siltumnīcefekta gāzu emisijas samazināšana transporta sektorā – atbalsts bezemisiju un mazemisiju transportlīdzekļu iegādei" nolikums" 14.4. apakšpunktā, aktualizējot minētajā apakšpunktā ietverto regulējumu. Norādām, ka atbilstoši spēkā esošajām tiesību normām ārpustiesas tiesiskās aizsardzības process ir tiesiskās aizsardzības procesa sastāvdaļa, līdz ar to nav nepieciešams to norādīt atsevišķi, savukārt sanācija un mierizlīgums Maksātnespējas likumā vairs nav paredzēti.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Par šo noteikumu 14.6. un 14.7. apakšpunktā minētajiem faktiem Vides investīciju fonds informāciju iegūst no Iekšlietu ministrijas Informācijas centra pārziņā esošās valsts informācijas sistēmas "Sodu reģistrs" (turpmāk - reģistrs).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izvērtēt un noteikumu projekta 10. punktā svītrot vārdus "(turpmāk - reģistrs)", ņemot vērā, ka šobrīd attiecīgs saīsinājums noteikumu projekta tekstā tālāk netiek izmantots.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24-TA-512</w:t>
    </w:r>
    <w:r>
      <w:br/>
    </w:r>
    <w:r w:rsidR="00000000" w:rsidRPr="00000000" w:rsidDel="00000000">
      <w:rPr>
        <w:rtl w:val="0"/>
      </w:rPr>
      <w:t xml:space="preserve">Izdrukāts 26.06.2024.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24-TA-512</w:t>
    </w:r>
    <w:r>
      <w:br/>
    </w:r>
    <w:r w:rsidR="00000000" w:rsidRPr="00000000" w:rsidDel="00000000">
      <w:rPr>
        <w:rtl w:val="0"/>
      </w:rPr>
      <w:t xml:space="preserve">Izdrukāts 26.06.2024.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Atzinumi_24-TA-512.docx</dc:title>
</cp:coreProperties>
</file>

<file path=docProps/custom.xml><?xml version="1.0" encoding="utf-8"?>
<Properties xmlns="http://schemas.openxmlformats.org/officeDocument/2006/custom-properties" xmlns:vt="http://schemas.openxmlformats.org/officeDocument/2006/docPropsVTypes"/>
</file>