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27. oktobra noteikumos Nr. 1227 "Noteikumi par regulējamiem sabiedrisko pakalpojumu veidiem"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elektroenerģijas uzkrāšanu elektroenerģijas uzkrātuvēs, kuru uzstādītā elektroenerģijas ražošanas jauda ir lielāka par vienu megavatu, izņemot elektroenerģijas pārvades sistēmas operatoram vai elektroenerģijas sadales sistēmas operatoram piederošās elektroenerģijas uzkrātuvēs.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Elektroenerģijas tirgus likuma Pārejas noteikumu 134.punktu Regulators līdz 2025.gada 31.decembrim izdod elektroenerģijas uzkrāšanas vispārējās atļaujas noteikumus, nosaka elektroenerģijas ražotāju un elektroenerģijas uzkrātuves operatoru reģistrā iekļaujamās ziņas, elektroenerģijas ražotāju un elektroenerģijas uzkrātuves operatoru reģistrēšanas prasības, kā arī citu ar elektroenerģijas uzkrātuves operatora darbību saistītu regulējumu. Tātad elektroenerģijas uzkrāšanu par regulējamo sabiedrisko pakalpojumu varēs uzskatīt no 2026.gada 1.janvāra, kad spēkā jāstājas Regulatora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w:t>
            </w:r>
            <w:r w:rsidR="00000000" w:rsidRPr="00000000" w:rsidDel="00000000">
              <w:rPr>
                <w:u w:val="single"/>
                <w:rtl w:val="0"/>
              </w:rPr>
              <w:t xml:space="preserve">Noteikumu projektu nepieciešams papildināt ar jaunu punktu, nosakot, ka Noteikumu 2.7.apakšpunkts 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dabasgāzes, izņemot sašķidrinātās dabasgāzes, ieguvi turpmākai ievadīšanai nacionālajā dabasgāzes ieejas-izejas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Enerģētikas likuma 107.2 panta pirmo daļu Regulators nosaka dabasgāzes ražošanas vispārējās atļaujas noteikumus, kas ir saistoši visiem dabasgāzes ražotājiem, kuru darbību regulē saskaņā ar likumu "Par sabiedrisko pakalpojumu regulatoriem". Tāpat Regulators veido dabasgāzes ražotāju reģistru un nodrošina tā publisku pieejamību (Enerģētikas likuma 107.2 panta otrā daļa), kā arī nosaka reģistrā iekļaujamās ziņas, reģistrēšanas un izslēgšanas kārtību, kā arī prasības un informāciju, kas norādāma reģistrācijas un darbības izbeigšanas paziņojumos (Enerģētikas likuma 107.2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nozīmē, ka bez attiecīgiem vispārējās atļaujas noteikumiem Regulatoram nav pamata reģistrēt un regulēt dabasgāzes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w:t>
            </w:r>
            <w:r w:rsidR="00000000" w:rsidRPr="00000000" w:rsidDel="00000000">
              <w:rPr>
                <w:u w:val="single"/>
                <w:rtl w:val="0"/>
              </w:rPr>
              <w:t xml:space="preserve">Noteikumu projekts papildināms ar jaunu punktu, kas paredz, ka Noteikumu 4.6.apakšpunkts stājas spēkā 2026.gada 1.janvārī vienlaikus ar 2.7.apakšpunktā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25-TA-406</w:t>
    </w:r>
    <w:r>
      <w:br/>
    </w:r>
    <w:r w:rsidR="00000000" w:rsidRPr="00000000" w:rsidDel="00000000">
      <w:rPr>
        <w:rtl w:val="0"/>
      </w:rPr>
      <w:t xml:space="preserve">Izdrukāts 28.07.2025.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25-TA-406</w:t>
    </w:r>
    <w:r>
      <w:br/>
    </w:r>
    <w:r w:rsidR="00000000" w:rsidRPr="00000000" w:rsidDel="00000000">
      <w:rPr>
        <w:rtl w:val="0"/>
      </w:rPr>
      <w:t xml:space="preserve">Izdrukāts 28.07.2025.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Atzinumi_25-TA-406.docx</dc:title>
</cp:coreProperties>
</file>

<file path=docProps/custom.xml><?xml version="1.0" encoding="utf-8"?>
<Properties xmlns="http://schemas.openxmlformats.org/officeDocument/2006/custom-properties" xmlns:vt="http://schemas.openxmlformats.org/officeDocument/2006/docPropsVTypes"/>
</file>