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26-TA-120: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un nepieciešamības gadījumā precizēt anotācijā norādīto kopējo un no Atveseļošanas fonda un noturības mehānisma (turpmāk – Atveseļošanas fonds)  plāna investīcijas 2.3.1.4.i. “Individuālo mācību kontu pieejas attīstība” pārdalāmā finansējuma apmēru. Vēršam uzmanību, ka Ministru kabineta sēdes protokollēmuma projektā, Ministru kabineta noteikumu projektā un anotācijā sniegta atšķirīga informācija par pārdalāmā finansējuma apmēru no Atveseļošanas fonda plāna investīcijas 2.3.1.4.i. “Individuālo mācību kontu pieejas attīstība”. Tāpat ņemot vērā, ka budžets tiek plānots veselos skaitļos, lūdzam anotācijā minēto pārdalāmo finansējumu norādīt veselos euro, bez cipariem aiz komata.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3.sadaļu ar detalizētu informāciju par Atveseļošanas fonda ietvaros veicamajām finansējuma pārdalēm, kā arī pievienojot detalizētu aprēķinu un skaidrojumu norādītajam pievienotās vērtības nodoklim 1 363 585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trešās kolonnas 5.1.apakšpunktā norādīt finansiālo vērtību atbilstoši kā šīs sadaļas 5.punktā minētajai.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finansējuma pārdali Eiropas Savienības Atveseļošanas fonda (turpmāk – AF) ietvaros no investīcijas 2.3.2.1.i. “Digitālās prasmes iedzīvotājiem, t.sk. jauniešiem” projekta Nr. 2.3.2.1.i./0/1/23/I/CFLA/001 “Sabiedrības digitālo prasmju attīstība” 3 010 779 euro apmērā (bez PVN) un no AF investīcijas 2.3.1.4.i. “Individuālo mācību kontu pieejas attīstība” 4 647 493 euro apmērā, ko veido AF finansējums 4 445 301 euro un pievienotās vērtības nodoklis 202 191 euro, uz investīcijas 2.3.2.3.i. projektu Nr. 2.3.2.3.i./0/1/23/I/CFLA/001 “Digitālās plaisas mazināšana sociāli neaizsargātajām grupām un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un nepieciešamības gadījumā precizēt Ministru kabineta sēdes protokollēmuma projekta 3.punktā norādīto no Atveseļošanas fonda plāna investīcijas 2.3.1.4.i. “Individuālo mācību kontu pieejas attīstība” pārdalāmā finansējuma apmēru. Vēršam uzmanību, ka Ministru kabineta sēdes protokollēmuma projektā, Ministru kabineta noteikumu projektā un anotācijā sniegta atšķirīga informācija par pārdalāmā finansējuma apmēru no iepriekš minētās investīcijas.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Atbalstīt investīcijas 2.3.2.3.i. projekta īstenošanai papildus nepieciešamo pievienotās vērtības nodokļa izmaksu segšanu no valsts budžeta 1 363 585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un pamatojumu Ministru kabineta sēdes protokollēmuma projekta 4.punktā norādītajam pievienotās vērtības nodokļa apmēram.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 mērķa rādītājs - līdz 2026. gada 31. jūlijam nodrošināts IKT aprīkojums vismaz 3 000 000 </w:t>
            </w:r>
            <w:r w:rsidR="00000000" w:rsidRPr="00000000" w:rsidDel="00000000">
              <w:rPr>
                <w:i w:val="1"/>
                <w:rtl w:val="0"/>
              </w:rPr>
              <w:t xml:space="preserve">euro</w:t>
            </w:r>
            <w:r w:rsidR="00000000" w:rsidRPr="00000000" w:rsidDel="00000000">
              <w:rPr>
                <w:rtl w:val="0"/>
              </w:rPr>
              <w:t xml:space="preserve">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plānoto Ministru kabineta 2023. gada 4. aprīļa noteikumu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 (turpmāk - noteikumi Nr. 168) 4.2.</w:t>
            </w:r>
            <w:r w:rsidR="00000000" w:rsidRPr="00000000" w:rsidDel="00000000">
              <w:rPr>
                <w:vertAlign w:val="superscript"/>
                <w:rtl w:val="0"/>
              </w:rPr>
              <w:t xml:space="preserve">1</w:t>
            </w:r>
            <w:r w:rsidR="00000000" w:rsidRPr="00000000" w:rsidDel="00000000">
              <w:rPr>
                <w:rtl w:val="0"/>
              </w:rPr>
              <w:t xml:space="preserve"> apakšpunkta redakciju, lai nodrošinātu viennozīmīgu interpretāciju par to, ka tajā minētais IKT aprīkojums nav tas pats, kas minēts minēto noteikumu 4.2. apakšpunktā. Vēršam uzmanību, ka noteikumu Nr.168 3.1.8. apakšpunktā atrunātais saīsinājums "IKT aprīkojums" tiek lietots arī pārējā noteikumu Nr. 168 tekstā (tostarp arī attiecībā uz portatīvo datortehniku, ne tikai attiecībā uz ar noteikumu projektu plānotajiem grozījumiem).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pārskatīt arī visu noteikumu projektu. Skaidrojam, ka šobrīd noteikumu projektā paredzēto grozījumu redakcijas nerada viennozīmīgu interpretāciju par to, vai ar grozījumiem papildinātais finansējuma apmērs paredzēts citam IKT aprīkojumam, ko nav paredzējusi noteikumu Nr. 168 spēkā esošā redakcija.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Papildus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noteiktajam finansējumam investīcijas 2.3.2.3.i. īstenošanai IKT aprīkojuma iegādei ir pieejams Atveseļošanas fonda finansējums 7 456 081,00 </w:t>
            </w:r>
            <w:r w:rsidR="00000000" w:rsidRPr="00000000" w:rsidDel="00000000">
              <w:rPr>
                <w:i w:val="1"/>
                <w:rtl w:val="0"/>
              </w:rPr>
              <w:t xml:space="preserve">euro</w:t>
            </w:r>
            <w:r w:rsidR="00000000" w:rsidRPr="00000000" w:rsidDel="00000000">
              <w:rPr>
                <w:rtl w:val="0"/>
              </w:rPr>
              <w:t xml:space="preserve"> apmērā (bez PVN). Finansējuma saņēmējs PVN izmaksas, kas nepārsniedz 1 565 777,00 </w:t>
            </w:r>
            <w:r w:rsidR="00000000" w:rsidRPr="00000000" w:rsidDel="00000000">
              <w:rPr>
                <w:i w:val="1"/>
                <w:rtl w:val="0"/>
              </w:rPr>
              <w:t xml:space="preserve">euro</w:t>
            </w:r>
            <w:r w:rsidR="00000000" w:rsidRPr="00000000" w:rsidDel="00000000">
              <w:rPr>
                <w:rtl w:val="0"/>
              </w:rPr>
              <w:t xml:space="preserve">, sedz no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un nepieciešamības gadījumā precizēt Ministru kabineta Nr. 168 11.</w:t>
            </w:r>
            <w:r w:rsidR="00000000" w:rsidRPr="00000000" w:rsidDel="00000000">
              <w:rPr>
                <w:vertAlign w:val="superscript"/>
                <w:rtl w:val="0"/>
              </w:rPr>
              <w:t xml:space="preserve">1</w:t>
            </w:r>
            <w:r w:rsidR="00000000" w:rsidRPr="00000000" w:rsidDel="00000000">
              <w:rPr>
                <w:rtl w:val="0"/>
              </w:rPr>
              <w:t xml:space="preserve">.punktā (Ministru kabineta noteikumu projekta 5.punkts) norādīto IKT aprīkojuma iegādei pieejamo Atveseļošanas fonda finansējumu, kā arī pievienotās vērtības nodokļa apmēru. Vēršam uzmanību, ka  Ministru kabineta sēdes protokollēmuma projektā, Ministru kabineta noteikumu projektā un anotācijā sniegta atšķirīga informācija par pārdalāmā finansējuma apmēru. Tāpat ņemot vērā, ka budžets tiek plānots veselos skaitļos, lūdzam iepriekš minētajā punktā norādīto finansējumu norādīt veselos euro, bez cipariem aiz komata.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Sadarbības partneri nodrošina investīcijas projekta rezultātu ilgtspēju, tai skaitā nodrošinot portatīvās datortehnikas, IKT aprīkojuma un izveidotās infrastruktūras darbību un izmantošanu izglītības mērķiem vismaz trīs gadus pēc īpašumtiesību iegūšanas.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 projekta īstenošanā iesaistītie sadarbības partneri (tiešās pārvaldes iestādes u.c.) plāno nodrošināt projekta ietvaros iegādātā IKT aprīkojuma ilgtspēju vismaz trīs gadus pēc īpašumtiesību iegūšanas, norādot finansējuma avotu šādu izmaksu segšanai.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2.3.2.1.i. investīcijā “Digitālās prasmes iedzīvotājiem, t.sk. jauniešiem” jau ir atbrīvots pārdalāmais finansējums 3 010 779 </w:t>
            </w:r>
            <w:r w:rsidR="00000000" w:rsidRPr="00000000" w:rsidDel="00000000">
              <w:rPr>
                <w:i w:val="1"/>
                <w:rtl w:val="0"/>
              </w:rPr>
              <w:t xml:space="preserve">euro</w:t>
            </w:r>
            <w:r w:rsidR="00000000" w:rsidRPr="00000000" w:rsidDel="00000000">
              <w:rPr>
                <w:rtl w:val="0"/>
              </w:rPr>
              <w:t xml:space="preserve"> apmērā (bez pievienotās vērtības nodokļa).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lūdzam papildināt anotācijas </w:t>
            </w:r>
            <w:r w:rsidR="00000000" w:rsidRPr="00000000" w:rsidDel="00000000">
              <w:rPr>
                <w:u w:val="single"/>
                <w:rtl w:val="0"/>
              </w:rPr>
              <w:t xml:space="preserve">4. sadaļu</w:t>
            </w:r>
            <w:r w:rsidR="00000000" w:rsidRPr="00000000" w:rsidDel="00000000">
              <w:rPr>
                <w:rtl w:val="0"/>
              </w:rPr>
              <w:t xml:space="preserve"> ar informāciju, ka paralēli noteikumu projektam tiek virzīti arī grozījumi Ministru kabineta 2024. gada 23. jūlija noteikumos Nr. 506 "Latvijas Atveseļošanas un noturības mehānisma 2.3. reformu un investīciju virziena "Digitālā transformācija" 2.3.1.r. reformas "Ilgtspējīgas un sociāli atbildīgas atbalsta sistēmas pieaugušo izglītībai attīstība" 2.3.1.4.i. investīcijas "Individuālo mācību kontu pieejas attīstība" un 2.3.1.3.i. investīcijas "Pašvadītas IKT speciālistu mācību pieejas attīstība" īstenošanas noteikumi" (turpmāk - noteikumi Nr. 506) (25-TA-2614), lai atbrīvotu finansējumu 4 647 493,39 </w:t>
            </w:r>
            <w:r w:rsidR="00000000" w:rsidRPr="00000000" w:rsidDel="00000000">
              <w:rPr>
                <w:i w:val="1"/>
                <w:rtl w:val="0"/>
              </w:rPr>
              <w:t xml:space="preserve">euro</w:t>
            </w:r>
            <w:r w:rsidR="00000000" w:rsidRPr="00000000" w:rsidDel="00000000">
              <w:rPr>
                <w:rtl w:val="0"/>
              </w:rPr>
              <w:t xml:space="preserve"> apmērā, ko veido Atveseļošanas fonda finansējums 4 445 301,54 </w:t>
            </w:r>
            <w:r w:rsidR="00000000" w:rsidRPr="00000000" w:rsidDel="00000000">
              <w:rPr>
                <w:i w:val="1"/>
                <w:rtl w:val="0"/>
              </w:rPr>
              <w:t xml:space="preserve">euro</w:t>
            </w:r>
            <w:r w:rsidR="00000000" w:rsidRPr="00000000" w:rsidDel="00000000">
              <w:rPr>
                <w:rtl w:val="0"/>
              </w:rPr>
              <w:t xml:space="preserve"> apmērā un pievienotās vērtības nodoklis 202 191,85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nodrošināt, ka grozījumi noteikumos Nr. 506 tiek pieņemti pirms vai vienlaikus ar grozījumiem noteikumos Nr. 168, vai nepieciešamības gadījumā papildināt Ministru kabineta sēdes protokollēmuma projektu ar punktu, kas paredz, ka Izglītības un zinātnes ministrija kā finansējuma saņēmējs uzņemas līgumsaistības par attiecīgo finansējumu tikai pēc tam, kad 2.3.1.4.i. investīcijā tas ir atbrīvots.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AF plāna 3. grozījumiem ir izveidots jauns atskaites punkts Nr. 79a "IKT aprīkojuma iegāde", lūgums atbilstoši precizēt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Geidāne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anotāciju papildināt ar skaidrojumu par piešķirtā AF finansējuma kopējo izlietojumu. Anotācijā norādīts, ka “Noteikumi Nr. 168 ir papildināti ar 14.1.1. apakšpunktu, paredzot atbalstāmo darbību — IKT aprīkojuma iegādi šo noteikumu 8.1. apakšpunktā minētajiem sadarbības partneriem, kā arī ar 4.2.1. apakšpunktu, kas paredz nodrošināt IKT aprīkojumu vismaz 3 000 000 euro apmērā.” Ņemot vērā, ka papildu piešķirtais AF finansējums ir 7 456 081,00 euro, lūdzam anotācijā precizēt, kādām darbībām paredzēts izmantot atlikušo finansējuma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Iļjinska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Risinājuma aprakstā, vai plānots slēgt jaunus sadarbības līgumus, vai IKT aprīkojums tiks piešķirts jau esošajiem sadarbības partneriem un salāgot tekstu, vai sadarbības partneriem tiks iedalīts aprīkojums vai finansējums. Kā arī norādīt, vai iegādēm tiks sludināts iepirkums un kurš to darīs, vai aprīkojums tiks iepirkts EIS. No tā ir atkarīgs, vai CFLA spēs iekļauties MKN grozījumos norādītajā 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Iļjinska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pārdales rezultātā ir palielināts pasākuma kopējais finansējums, lūdzam papildināt sadaļu “Risinājuma apraksts” ar aktuālajiem AF finansējuma intervences kodiem ( ""Zaļie" mērķi", "Digitālie mērķi", "COFOG 2. līmeņa kategorijas").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Geidāne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2.1. sadaļas apakšsadaļas "Juridiskās personas" atbilstošajā apakšsadaļā "Ietekmes apraksts" minēts, ka, palielinot pieejamā kopējā finansējuma apmēru, būs jāveic atbilstoši grozījumi 2023. gada 20. septembrī noslēgtajā vienošanās starp Centrālo finanšu un līgumu aģentūru un Izglītības un zinātnes ministriju par investīciju projekta īstenošanu. Lūdzam izvērtēt, vai vienošanās grozījumi nebūs jāveic arī saistībā ar citiem noteikumu projektā plānotajiem grozījumiem, un atbilstoši precizēt anotācijas 2.1. sadaļas minētajā apakšsadaļā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vai grozījumi vienošanās nav uzskatāmi par būtiskiem, kas ietekmē darbības veidu, mērķus vai īstenošanas nosacījumus, tādējādi traucējot tās sākotnējo mērķu sasniegšanu (ņemot vērā, ka tiek mainīts arī projekta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finansējuma pārdali Eiropas Savienības Atveseļošanas fonda (turpmāk – AF) ietvaros no investīcijas 2.3.2.1.i. “Digitālās prasmes iedzīvotājiem, t.sk. jauniešiem” projekta Nr. 2.3.2.1.i./0/1/23/I/CFLA/001 “Sabiedrības digitālo prasmju attīstība” 3 010 779 euro apmērā (bez PVN) un no AF investīcijas 2.3.1.4.i. “Individuālo mācību kontu pieejas attīstība” 4 647 493 euro apmērā, ko veido AF finansējums 4 445 301 euro un pievienotās vērtības nodoklis 202 191 euro, uz investīcijas 2.3.2.3.i. projektu Nr. 2.3.2.3.i./0/1/23/I/CFLA/001 “Digitālās plaisas mazināšana sociāli neaizsargātajām grupām un izglītības iestādēs”.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Ministru kabineta sēdes protokollēmuma projekta 3. punkta nepieciešamību, ņemot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2025. gada 22. decembra sēdes protokollēmumā (prot. Nr. 53 103. § 2. punkts) noteikto, kas paredz</w:t>
            </w:r>
            <w:r w:rsidR="00000000" w:rsidRPr="00000000" w:rsidDel="00000000">
              <w:rPr>
                <w:i w:val="1"/>
                <w:rtl w:val="0"/>
              </w:rPr>
              <w:t xml:space="preserve"> Izglītības un zinātnes ministrijai pēc grozījumu projektā Nr. 2.3.2.1.i./0/1/23/I/CFLA/001 "Sabiedrības digitālo prasmju attīstība" stāšanās spēkā uzņemties projekta līgumsaistības 2.3.2.3.i. investīcijas "Digitālās plaisas mazināšana sociāli neaizsargātajām grupām un izglītības iestādēs" ietvaros par Atveseļošanas fonda finansējuma ietaupījumu 3 010 779 euro apmērā, ko veido Atveseļošanas fonda finansējuma ietaupījums no 2.3.2.1.i. investīcijas "Digitālās prasmes iedzīvotājiem, t. sk. jauniešiem" 3 010 779 euro apmērā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šim noteikumu projektam jau paralēli virzītos grozījumus noteikumos Nr. 506 (25-TA-2614). Proti, lūdzam izvērtēt nepieciešamību pieņemt atsevišķu Ministru kabineta lēmumu par finansējuma pārdali starp konkrētām investīcijām, ja ar grozījumiem noteikumos Nr. 506 jau tiek samazināts 2.3.1.4.i. investīcijas finansējuma apmērs, un ar grozījumiem noteikumos Nr. 168 2.3.2.3.i. investīcijas finansējuma apmērs tiek atbilstoši palielināts.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Ministru kabineta sēdes protokollēmuma projekta 5. punkta nepieciešamību, tostarp ņemot vērā jau anotācijas 2.1. sadaļas apakšsadaļas "Juridiskās personas" attiecīgajā apakšsadaļā "Ietekmes apraksts"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Papildus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noteiktajam finansējumam investīcijas 2.3.2.3.i. īstenošanai IKT aprīkojuma iegādei ir pieejams Atveseļošanas fonda finansējums 7 456 081,00 </w:t>
            </w:r>
            <w:r w:rsidR="00000000" w:rsidRPr="00000000" w:rsidDel="00000000">
              <w:rPr>
                <w:i w:val="1"/>
                <w:rtl w:val="0"/>
              </w:rPr>
              <w:t xml:space="preserve">euro</w:t>
            </w:r>
            <w:r w:rsidR="00000000" w:rsidRPr="00000000" w:rsidDel="00000000">
              <w:rPr>
                <w:rtl w:val="0"/>
              </w:rPr>
              <w:t xml:space="preserve"> apmērā (bez PVN). Finansējuma saņēmējs PVN izmaksas, kas nepārsniedz 1 565 777,00 </w:t>
            </w:r>
            <w:r w:rsidR="00000000" w:rsidRPr="00000000" w:rsidDel="00000000">
              <w:rPr>
                <w:i w:val="1"/>
                <w:rtl w:val="0"/>
              </w:rPr>
              <w:t xml:space="preserve">euro</w:t>
            </w:r>
            <w:r w:rsidR="00000000" w:rsidRPr="00000000" w:rsidDel="00000000">
              <w:rPr>
                <w:rtl w:val="0"/>
              </w:rPr>
              <w:t xml:space="preserve">, sedz no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regulējuma izsekojamību un skaidru interpretāciju, lūdzam apvienot plānoto 11.</w:t>
            </w:r>
            <w:r w:rsidR="00000000" w:rsidRPr="00000000" w:rsidDel="00000000">
              <w:rPr>
                <w:vertAlign w:val="superscript"/>
                <w:rtl w:val="0"/>
              </w:rPr>
              <w:t xml:space="preserve">1</w:t>
            </w:r>
            <w:r w:rsidR="00000000" w:rsidRPr="00000000" w:rsidDel="00000000">
              <w:rPr>
                <w:rtl w:val="0"/>
              </w:rPr>
              <w:t xml:space="preserve"> punktu ar spēkā esošo noteikumu Nr.168 11. punktu, pēc nepieciešamības finansējuma apmēru izdalot minēto noteikumu 11. punkta apakšpunktos.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r w:rsidR="00000000" w:rsidRPr="00000000" w:rsidDel="00000000">
              <w:rPr>
                <w:vertAlign w:val="superscript"/>
                <w:rtl w:val="0"/>
              </w:rPr>
              <w:t xml:space="preserve">1</w:t>
            </w:r>
            <w:r w:rsidR="00000000" w:rsidRPr="00000000" w:rsidDel="00000000">
              <w:rPr>
                <w:rtl w:val="0"/>
              </w:rPr>
              <w:t xml:space="preserve"> IKT aprīkojuma iegāde šo noteikumu </w:t>
            </w:r>
            <w:r w:rsidR="00000000" w:rsidRPr="00000000" w:rsidDel="00000000">
              <w:rPr>
                <w:rtl w:val="0"/>
              </w:rPr>
              <w:t xml:space="preserve">8.1. </w:t>
            </w:r>
            <w:r w:rsidR="00000000" w:rsidRPr="00000000" w:rsidDel="00000000">
              <w:rPr>
                <w:rtl w:val="0"/>
              </w:rPr>
              <w:t xml:space="preserve">apakšpunktā</w:t>
            </w:r>
            <w:r w:rsidR="00000000" w:rsidRPr="00000000" w:rsidDel="00000000">
              <w:rPr>
                <w:rtl w:val="0"/>
              </w:rPr>
              <w:t xml:space="preserve"> minētajiem sadarbības partneriem;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plānotā 14.1.</w:t>
            </w:r>
            <w:r w:rsidR="00000000" w:rsidRPr="00000000" w:rsidDel="00000000">
              <w:rPr>
                <w:vertAlign w:val="superscript"/>
                <w:rtl w:val="0"/>
              </w:rPr>
              <w:t xml:space="preserve">1</w:t>
            </w:r>
            <w:r w:rsidR="00000000" w:rsidRPr="00000000" w:rsidDel="00000000">
              <w:rPr>
                <w:rtl w:val="0"/>
              </w:rPr>
              <w:t xml:space="preserve"> apakšpunkta redakciju un to precizēt pēc līdzības ar 14.1. un 14.2. apakšpunktu, lai noteiktu regulējumu, ka IKT aprīkojums tiek iegādāts nevis sadarbības partneru, bet to dibināto izglītības iestāžu un izglītojamo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Finansējuma saņēmējs sadala IKT aprīkojumu tiem šo noteikumu </w:t>
            </w:r>
            <w:r w:rsidR="00000000" w:rsidRPr="00000000" w:rsidDel="00000000">
              <w:rPr>
                <w:rtl w:val="0"/>
              </w:rPr>
              <w:t xml:space="preserve">8.1. </w:t>
            </w:r>
            <w:r w:rsidR="00000000" w:rsidRPr="00000000" w:rsidDel="00000000">
              <w:rPr>
                <w:rtl w:val="0"/>
              </w:rPr>
              <w:t xml:space="preserve">apakšpunktā</w:t>
            </w:r>
            <w:r w:rsidR="00000000" w:rsidRPr="00000000" w:rsidDel="00000000">
              <w:rPr>
                <w:rtl w:val="0"/>
              </w:rPr>
              <w:t xml:space="preserve"> minētajiem sadarbības partneriem, kas viena mēneša laikā pēc finansējuma saņēmēja uzaicinājuma ir noslēguši sadarbības līgumu ar finansējuma saņēmēju vai par kuriem finansējuma saņēmējs ir izdevis rīkojumu. Finansējumu sadala pašvaldībām proporcionāli to dibināto izglītības iestāžu skaitam atbilstoši Valsts izglītības informācijas sistēmas datiem uz 2025. gada 1. septembri, savukārt profesionālās izglītības iestādēm, kā arī Murjāņu sporta ģimnāzijai – 30 procentu apmērā no šo noteikumu </w:t>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pieejamā finansējuma atbilstoši iestādes dibinātāja faktiskajām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kas tiks sadalīts sadarbības partneriem - IKT aprīkojums vai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Iļjinska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r w:rsidR="00000000" w:rsidRPr="00000000" w:rsidDel="00000000">
              <w:rPr>
                <w:vertAlign w:val="superscript"/>
                <w:rtl w:val="0"/>
              </w:rPr>
              <w:t xml:space="preserve">1</w:t>
            </w:r>
            <w:r w:rsidR="00000000" w:rsidRPr="00000000" w:rsidDel="00000000">
              <w:rPr>
                <w:rtl w:val="0"/>
              </w:rPr>
              <w:t xml:space="preserve"> Finansējuma saņēmējs sadala IKT aprīkojumu tiem šo noteikumu </w:t>
            </w:r>
            <w:r w:rsidR="00000000" w:rsidRPr="00000000" w:rsidDel="00000000">
              <w:rPr>
                <w:rtl w:val="0"/>
              </w:rPr>
              <w:t xml:space="preserve">8.1. </w:t>
            </w:r>
            <w:r w:rsidR="00000000" w:rsidRPr="00000000" w:rsidDel="00000000">
              <w:rPr>
                <w:rtl w:val="0"/>
              </w:rPr>
              <w:t xml:space="preserve">apakšpunktā</w:t>
            </w:r>
            <w:r w:rsidR="00000000" w:rsidRPr="00000000" w:rsidDel="00000000">
              <w:rPr>
                <w:rtl w:val="0"/>
              </w:rPr>
              <w:t xml:space="preserve"> minētajiem sadarbības partneriem, kas viena mēneša laikā pēc finansējuma saņēmēja uzaicinājuma ir noslēguši sadarbības līgumu ar finansējuma saņēmēju vai par kuriem finansējuma saņēmējs ir izdevis rīkojumu. Finansējumu sadala pašvaldībām proporcionāli to dibināto izglītības iestāžu skaitam atbilstoši Valsts izglītības informācijas sistēmas datiem uz 2025. gada 1. septembri, savukārt profesionālās izglītības iestādēm, kā arī Murjāņu sporta ģimnāzijai – 30 procentu apmērā no šo noteikumu </w:t>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pieejamā finansējuma atbilstoši iestādes dibinātāja faktiskajām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15.</w:t>
            </w:r>
            <w:r w:rsidR="00000000" w:rsidRPr="00000000" w:rsidDel="00000000">
              <w:rPr>
                <w:vertAlign w:val="superscript"/>
                <w:rtl w:val="0"/>
              </w:rPr>
              <w:t xml:space="preserve">1</w:t>
            </w:r>
            <w:r w:rsidR="00000000" w:rsidRPr="00000000" w:rsidDel="00000000">
              <w:rPr>
                <w:rtl w:val="0"/>
              </w:rPr>
              <w:t xml:space="preserve"> punkta plānoto redakciju, lai nodrošinātu viennozīmīgu regulējumu un skaidru izpratni par finansējuma sadalīšanas principiem un tā saņēmējiem. No šā brīža redakcijas nav saprotams, kuriem sadarbības partneriem (t.i. kuros noteikumu Nr.168 8.1. apakšpunkta punktos minētajiem) paredzēts piešķirt finansējumu IKT aprīkojuma iegādei, un kādā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gadījumā, ja finansējumu IKT aprīkojuma iegādei nav paredzēts piešķirt visiem noteikumu Nr.168  8.1. apakšpunktā minētajiem sadarbības partneriem, lūdzam sniegt anotācijā skaidrojumu un pamatojumu šādai pieejai, t.i., nenodrošinot vienlīdzīgu pieeju visu sadarbības partneru dibinātajām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regulējuma viennozīmīgas interpretācijas nolūkos lūdzam izvērtēt iespēju 15.1 punktu izdalīt apakšpunktus, kuros atsevišķi norādīta informācija par IKT aprīkojuma sadalījumu un finansējuma sadalījumu (t.i. konkretizējot, vai tiek piešķirts IKT aprīkojums vai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Atbildīgā nozares ministrija 20 darbdienu laikā pēc tam, kad finansējuma saņēmējs ir iesniedzis investīcijas projekta iesniegumu vadības informācijas sistēmā, izvērtē iesniegto investīcijas projekta iesniegumu atbilstoši šiem noteikumiem un  Eiropas Parlamenta un Padomes 2018. gada 18. jūlija Regulas Nr.  </w:t>
            </w:r>
            <w:r w:rsidR="00000000" w:rsidRPr="00000000" w:rsidDel="00000000">
              <w:rPr>
                <w:rtl w:val="0"/>
              </w:rPr>
              <w:t xml:space="preserve">2018/1046</w:t>
            </w:r>
            <w:r w:rsidR="00000000" w:rsidRPr="00000000" w:rsidDel="00000000">
              <w:rPr>
                <w:rtl w:val="0"/>
              </w:rPr>
              <w:t xml:space="preserve"> par finanšu noteikumiem, ko piemēro Savienības vispārējam budžetam, ar kuru groza Regulas (ES) Nr.  </w:t>
            </w:r>
            <w:r w:rsidR="00000000" w:rsidRPr="00000000" w:rsidDel="00000000">
              <w:rPr>
                <w:rtl w:val="0"/>
              </w:rPr>
              <w:t xml:space="preserve">1296/2013</w:t>
            </w:r>
            <w:r w:rsidR="00000000" w:rsidRPr="00000000" w:rsidDel="00000000">
              <w:rPr>
                <w:rtl w:val="0"/>
              </w:rPr>
              <w:t xml:space="preserve">, (ES) Nr.  </w:t>
            </w:r>
            <w:r w:rsidR="00000000" w:rsidRPr="00000000" w:rsidDel="00000000">
              <w:rPr>
                <w:rtl w:val="0"/>
              </w:rPr>
              <w:t xml:space="preserve">1301/2013</w:t>
            </w:r>
            <w:r w:rsidR="00000000" w:rsidRPr="00000000" w:rsidDel="00000000">
              <w:rPr>
                <w:rtl w:val="0"/>
              </w:rPr>
              <w:t xml:space="preserve">, (ES) Nr.  </w:t>
            </w:r>
            <w:r w:rsidR="00000000" w:rsidRPr="00000000" w:rsidDel="00000000">
              <w:rPr>
                <w:rtl w:val="0"/>
              </w:rPr>
              <w:t xml:space="preserve">1303/2013</w:t>
            </w:r>
            <w:r w:rsidR="00000000" w:rsidRPr="00000000" w:rsidDel="00000000">
              <w:rPr>
                <w:rtl w:val="0"/>
              </w:rPr>
              <w:t xml:space="preserve">, (ES) Nr.  </w:t>
            </w:r>
            <w:r w:rsidR="00000000" w:rsidRPr="00000000" w:rsidDel="00000000">
              <w:rPr>
                <w:rtl w:val="0"/>
              </w:rPr>
              <w:t xml:space="preserve">1304/2013</w:t>
            </w:r>
            <w:r w:rsidR="00000000" w:rsidRPr="00000000" w:rsidDel="00000000">
              <w:rPr>
                <w:rtl w:val="0"/>
              </w:rPr>
              <w:t xml:space="preserve">, (ES) Nr.  </w:t>
            </w:r>
            <w:r w:rsidR="00000000" w:rsidRPr="00000000" w:rsidDel="00000000">
              <w:rPr>
                <w:rtl w:val="0"/>
              </w:rPr>
              <w:t xml:space="preserve">1309/2013</w:t>
            </w:r>
            <w:r w:rsidR="00000000" w:rsidRPr="00000000" w:rsidDel="00000000">
              <w:rPr>
                <w:rtl w:val="0"/>
              </w:rPr>
              <w:t xml:space="preserve">, (ES) Nr.  </w:t>
            </w:r>
            <w:r w:rsidR="00000000" w:rsidRPr="00000000" w:rsidDel="00000000">
              <w:rPr>
                <w:rtl w:val="0"/>
              </w:rPr>
              <w:t xml:space="preserve">1316/2013</w:t>
            </w:r>
            <w:r w:rsidR="00000000" w:rsidRPr="00000000" w:rsidDel="00000000">
              <w:rPr>
                <w:rtl w:val="0"/>
              </w:rPr>
              <w:t xml:space="preserve">, (ES) Nr.  </w:t>
            </w:r>
            <w:r w:rsidR="00000000" w:rsidRPr="00000000" w:rsidDel="00000000">
              <w:rPr>
                <w:rtl w:val="0"/>
              </w:rPr>
              <w:t xml:space="preserve">223/2014</w:t>
            </w:r>
            <w:r w:rsidR="00000000" w:rsidRPr="00000000" w:rsidDel="00000000">
              <w:rPr>
                <w:rtl w:val="0"/>
              </w:rPr>
              <w:t xml:space="preserve">, (ES) Nr.  </w:t>
            </w:r>
            <w:r w:rsidR="00000000" w:rsidRPr="00000000" w:rsidDel="00000000">
              <w:rPr>
                <w:rtl w:val="0"/>
              </w:rPr>
              <w:t xml:space="preserve">283/2014</w:t>
            </w:r>
            <w:r w:rsidR="00000000" w:rsidRPr="00000000" w:rsidDel="00000000">
              <w:rPr>
                <w:rtl w:val="0"/>
              </w:rPr>
              <w:t xml:space="preserve"> un Lēmumu Nr. 541/2014/ES un atceļ Regulu (ES, Euratom) Nr.  </w:t>
            </w:r>
            <w:r w:rsidR="00000000" w:rsidRPr="00000000" w:rsidDel="00000000">
              <w:rPr>
                <w:rtl w:val="0"/>
              </w:rPr>
              <w:t xml:space="preserve">966/2012</w:t>
            </w:r>
            <w:r w:rsidR="00000000" w:rsidRPr="00000000" w:rsidDel="00000000">
              <w:rPr>
                <w:rtl w:val="0"/>
              </w:rPr>
              <w:t xml:space="preserve">, 136. panta 1. punktā  noteiktajiem izslēgšanas kritērijiem, kā arī investīcijas projekta iesnieguma veidlapā definētajai informācijai. Ja nepieciešams, atbildīgā nozares ministrija lūdz finansējuma saņēmēju papildināt un precizēt iesniegto investīcijas projekta iesniegumu, nosakot termiņu precizējumu un papildinājumu iesniegšanai. Ja precizētā informācija par investīcijas projekta īstenošanu nav pietiekama lēmuma pieņemšanai par investīcijas projekta iesnieguma apstiprināšanu, atbildīgā nozares  ministrija var atkārtoti lūgt finansējuma saņēmēju iesniegt precizējumus izvērtēšanai, nosakot termiņu precizējumu un papildinājumu iesniegšanai. Atbildīgajai nozares ministrijai ir tiesības lūgt finansējuma saņēmēju veikt papildinājumus un precizējumus, līdz  investīcijas projekta iesniegums atbilst visām izvirzītajām prasībām. Atbildīgā nozares ministrija nosaka termiņu precizējumu un papildinājumu iesniegšanai. Iesniegtos precizējumus un papildinājumus atbildīgā nozares ministrija izvērtē 10 darbdienu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jaunā “Finanšu regula” – Eiropas Parlamenta un Padomes 2024. gada 23. septembra Regula (ES, Euratom) 2024/2509 par finanšu noteikumiem, ko piemēro Savienības vispārējam budžetam (pārstrādāta redakcija) (turpmāk - Regula 2024/2509), un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(turpmāk - Regula 2018/1046).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izvērtēt nepieciešamību noteikumu Nr. 168 24. punktā precizēt regulas atsauci, norādot atsauci uz Regulu 2024/2509. Saskaņā ar Regulas 2024/2509 279. pantu atsauces uz atcelto Regulu 2018/1046 uzskata par atsaucēm uz Regulu 2024/2509, un tās lasa saskaņā ar atbilstības tabulu Regulas 2024/2509 II pielikumā. Vienlaikus aicinām atbilstoši precizēt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05.03.2026. 17.27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26-TA-120</w:t>
    </w:r>
    <w:r>
      <w:br/>
    </w:r>
    <w:r w:rsidR="00000000" w:rsidRPr="00000000" w:rsidDel="00000000">
      <w:rPr>
        <w:rtl w:val="0"/>
      </w:rPr>
      <w:t xml:space="preserve">Izdrukāts 05.03.2026. 17.27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Atzinumi_26-TA-120.docx</dc:title>
</cp:coreProperties>
</file>

<file path=docProps/custom.xml><?xml version="1.0" encoding="utf-8"?>
<Properties xmlns="http://schemas.openxmlformats.org/officeDocument/2006/custom-properties" xmlns:vt="http://schemas.openxmlformats.org/officeDocument/2006/docPropsVTypes"/>
</file>