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labuma organizāciju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Sabiedriskā labuma organizāciju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Finanšu ministrijas izstrādāto likumprojektu “Grozījumi Sabiedriskā labuma organizāciju likumā” (ID 22-TA-3618) (turpmāk – Likumprojekts) un izsakām iebildumus un priekšlikumus Likumprojekta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konkrētu Likumprojekta normu novērtējuma vēlamies uzsvērt, ka LTRK ieskatā pilnvērtīgam sabiedriskā labuma organizāciju (turpmāk arī – SLO) sistēmas trūkumu novērtējumam iztrūkst analīzes ne tikai par nepilnībām tiesiskajā regulējumā, bet arī trūkumiem līdz šim īstenotajā SLO uzraudzības darbā. Mūsuprāt, virkne sabiedriskā labuma organizāciju sistēmas izaicinājumu, galvenokārt, saistāmi ar atbildīgo uzraudzības iestāžu izaicinājumiem veiksmīgi īstenot uzraudzības darbu, nevis tikvien nepilnvērtīgu tiesisko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w:t>
            </w:r>
            <w:r w:rsidR="00000000" w:rsidRPr="00000000" w:rsidDel="00000000">
              <w:rPr>
                <w:b w:val="1"/>
                <w:vertAlign w:val="superscript"/>
                <w:rtl w:val="0"/>
              </w:rPr>
              <w:t xml:space="preserve">1</w:t>
            </w:r>
            <w:r w:rsidR="00000000" w:rsidRPr="00000000" w:rsidDel="00000000">
              <w:rPr>
                <w:b w:val="1"/>
                <w:rtl w:val="0"/>
              </w:rPr>
              <w:t xml:space="preserve"> pants. Caurskatāmības koeficients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Komisija, izvērtējot biedrības, nodibinājuma vai reliģiskās organizācijas, kurai ir piešķirts sabiedriskā labuma organizācijas statuss, gada pārskata Vadības ziņojumā sniegto informāciju par sabiedriskā labuma organizācijas darbību (turpmāk – darbības pārskats), katram izvērtētajam darbības pārskatam piešķir caurskatāmības koeficientu. Komisijas piešķirto caurskatāmības koeficientu ieraksta komisijas atzinumā pie attiecīgās sabiedriskā labuma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par savu darbību un sabiedrībai sniegto sabiedrisko labumu sniedz izvērstu informāciju, kas ir izteikta skaitliski, turpmākās darbības plāni ir skaidri, saprotami un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 par savu darbību un sabiedrībai sniegto sabiedrisko labumu sniedz izvērstu informāciju, kas ir daļēji izteikta skaitliski, turpmākās darbības plāni ir skaidri, saprotami un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 par savu darbību un sabiedrībai sniegto sabiedrisko labumu sniedz īsu informāciju, kas daļēji izteikta skaitliski, turpmākās darbības plāni ir vispārīgi, kas daļēji izteikti skaitliski. Informācija par sabiedriskā labuma organizācijas darbību, sabiedrībai sniegto sabiedrisko labumu un turpmākās darbības plāniem ir publiski pieejama.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organizācijas, kuras darbības pārskats netiek vērtēts komisijā, Valsts ieņēmumu dienests, piešķir caurskatāmības koeficientu, izvērtējot darbības pārskata iesniegšanas savlaicīgumu un precizēšanas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zaļš – sabiedriskā labuma organizācijas darbības pārskats iesniegts termiņā un labojumi nav jāsniedz;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dzeltens – sabiedriskā labuma organizācijas darbības pārskats iesniegts pēc saņemtā atgādinājuma no Valsts ieņēmumu dienesta vai pēc likumā noteiktā termiņa vai labojumi sniegti vienu līdz divas reizes;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oranžs – sabiedriskā labuma organizācijas darbības pārskats iesniegts pēc atkārtota atgādinājuma no Valsts ieņēmumu dienesta vai labojumi sniegti trīs un vairāk reizes.(3) Sabiedriskā labuma organizācijas caurskatāmības koeficientam ir informatīvs raksturs.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Likumprojekta 4.</w:t>
            </w:r>
            <w:r w:rsidR="00000000" w:rsidRPr="00000000" w:rsidDel="00000000">
              <w:rPr>
                <w:b w:val="1"/>
                <w:vertAlign w:val="superscript"/>
                <w:rtl w:val="0"/>
              </w:rPr>
              <w:t xml:space="preserve">1</w:t>
            </w:r>
            <w:r w:rsidR="00000000" w:rsidRPr="00000000" w:rsidDel="00000000">
              <w:rPr>
                <w:b w:val="1"/>
                <w:rtl w:val="0"/>
              </w:rPr>
              <w:t xml:space="preserve"> otrajā daļa paredzēt, ka zaļo caurskatāmības koeficientu iegūst organizācijas, kas darbības pārskatu labojušas vienu vai divas reizes</w:t>
            </w:r>
            <w:r w:rsidR="00000000" w:rsidRPr="00000000" w:rsidDel="00000000">
              <w:rPr>
                <w:rtl w:val="0"/>
              </w:rPr>
              <w:t xml:space="preserve">. Jāakcentē, ka liela daļa sabiedriskā labuma organizāciju darbojas uz brīvprātības principa, no pamatdarba brīvajā laikā. Tajā skaitā ir pieņemami, ja pēc Valsts ieņēmumu dienesta speciālistu ieteikuma darbības pārskats tiek precizēts vienu vai divas reizes. Tas nebūtu jāuzskata par caurskatāmības koeficientu samazinošo apstākli. Vēl jo vairāk tas nebūtu pielīdzināms gadījumam, kad darbības pārskats netiek iesniegts noteiktajā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2.</w:t>
            </w:r>
            <w:r w:rsidR="00000000" w:rsidRPr="00000000" w:rsidDel="00000000">
              <w:rPr>
                <w:vertAlign w:val="superscript"/>
                <w:rtl w:val="0"/>
              </w:rPr>
              <w:t xml:space="preserve">1</w:t>
            </w:r>
            <w:r w:rsidR="00000000" w:rsidRPr="00000000" w:rsidDel="00000000">
              <w:rPr>
                <w:rtl w:val="0"/>
              </w:rPr>
              <w:t xml:space="preserve"> daļā Valsts ieņēmumu dienestam būtu jāparedz tiesības pieņemt no komisijas sniegtā izvērtējuma atšķirīgu lēmumu tikai </w:t>
            </w:r>
            <w:r w:rsidR="00000000" w:rsidRPr="00000000" w:rsidDel="00000000">
              <w:rPr>
                <w:b w:val="1"/>
                <w:rtl w:val="0"/>
              </w:rPr>
              <w:t xml:space="preserve">būtisku</w:t>
            </w:r>
            <w:r w:rsidR="00000000" w:rsidRPr="00000000" w:rsidDel="00000000">
              <w:rPr>
                <w:rtl w:val="0"/>
              </w:rPr>
              <w:t xml:space="preserve"> normatīvo aktu pārkāpumu gadījumā. Attiecīgi aicinām vārdus “ir konstatēti citi normatīvo aktu pārkāpumi” aizstāt ar vārdiem “ir konstatēti citi būtiski normatīvo aktu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8. panta 1.</w:t>
            </w:r>
            <w:r w:rsidR="00000000" w:rsidRPr="00000000" w:rsidDel="00000000">
              <w:rPr>
                <w:b w:val="1"/>
                <w:vertAlign w:val="superscript"/>
                <w:rtl w:val="0"/>
              </w:rPr>
              <w:t xml:space="preserve">1</w:t>
            </w:r>
            <w:r w:rsidR="00000000" w:rsidRPr="00000000" w:rsidDel="00000000">
              <w:rPr>
                <w:b w:val="1"/>
                <w:rtl w:val="0"/>
              </w:rPr>
              <w:t xml:space="preserve"> daļas 2. punktā noteikt samērīgu slieksni</w:t>
            </w:r>
            <w:r w:rsidR="00000000" w:rsidRPr="00000000" w:rsidDel="00000000">
              <w:rPr>
                <w:rtl w:val="0"/>
              </w:rPr>
              <w:t xml:space="preserve">, no kura neizpildītas saistības nodokļu jomā var būt par pamatu pieņemt lēmumu par atteikumu piešķirt sabiedriskā labuma organizācijas statusu. Piemēram, var noteikt Publisko iepirkumu likumā noteikto 150 EUR slieksni.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10.</w:t>
            </w:r>
            <w:r w:rsidR="00000000" w:rsidRPr="00000000" w:rsidDel="00000000">
              <w:rPr>
                <w:b w:val="1"/>
                <w:vertAlign w:val="superscript"/>
                <w:rtl w:val="0"/>
              </w:rPr>
              <w:t xml:space="preserve">1</w:t>
            </w:r>
            <w:r w:rsidR="00000000" w:rsidRPr="00000000" w:rsidDel="00000000">
              <w:rPr>
                <w:b w:val="1"/>
                <w:rtl w:val="0"/>
              </w:rPr>
              <w:t xml:space="preserve"> pants. Sabiedriskā labuma organizāciju tiesības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Sabiedriskā labuma organizācija veic tādu saimniecisko darbību, kas veicina sabiedriskā labuma organizācijas statūtos minēto sabiedriskā labuma darbību. Sabiedriskā labuma organizāciju likuma izpratnē par saimniecisko darbību ir uzskatāma jebkura darbība par atlīdzību, kas nav sabiedriskā labuma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grāmatvedības uzskaitē nodala sabiedriskā labuma darbības ieņēmumu un izdevumu uzskaiti no saimnieciskās darbības ieņēmumu un izdevumu uzskaites, norādot detalizēti sabiedriskā labuma darbības un saimnieciskās darbības ieņēmumus un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organizācijai aizliegts veikt saimniecisko darbību tādās jomās kā sprāgstvielu, ieroču un munīcijas ražošana un tirdzniecība, alkoholisko dzērienu ražošana (izņemot mazās alkoholisko dzērienu darītavas), tabakas izstrādājumu ražošana un tirdzniecība, azartspēles un derības, finanšu un apdrošināšanas darbības vai jomās, kas apdraud sabiedrības drošību un veselību.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10.</w:t>
            </w:r>
            <w:r w:rsidR="00000000" w:rsidRPr="00000000" w:rsidDel="00000000">
              <w:rPr>
                <w:b w:val="1"/>
                <w:vertAlign w:val="superscript"/>
                <w:rtl w:val="0"/>
              </w:rPr>
              <w:t xml:space="preserve">1</w:t>
            </w:r>
            <w:r w:rsidR="00000000" w:rsidRPr="00000000" w:rsidDel="00000000">
              <w:rPr>
                <w:b w:val="1"/>
                <w:rtl w:val="0"/>
              </w:rPr>
              <w:t xml:space="preserve"> panta trešajā daļā noteikto aizliegumu veikt saimniecisko darbību finanšu un apdrošināšanas jomā, kas pielīdzinātas jomām, kas apdraud sabiedrības drošību un veselību</w:t>
            </w:r>
            <w:r w:rsidR="00000000" w:rsidRPr="00000000" w:rsidDel="00000000">
              <w:rPr>
                <w:rtl w:val="0"/>
              </w:rPr>
              <w:t xml:space="preserve">. Nebūtu ierobežojama sabiedriskā labuma organizāciju saimnieciskā darbība finanšu un apdrošināšanas jomā kā papilddarbību, ja no tās gūtie ienākumi tiek izmantoti sabiedriskā labuma darbībai. Tā, piemēram, finanšu pratības viens no stūrakmeņiem ir pasīvo ienākumu gūšana. Valstij nebūtu jāveicina sabiedriskā labuma organizāciju “sēklas naudas” iztērēšana. Tālredzīga un ilgtspējīga sabiedriskā labuma organizācijas pārvaldība ļauj gūt procentu ienākumus no organizācijas aktīviem, tādējādi nodrošinot arī mazāku atkarību no saņemtajiem ziedojumiem. Būtiski akcentēt, ka sabiedriskā labuma organizāciju saņemtie ziedojumi korelē ar kopējo finansiālo stāvokli mājsaimniecībām. Tādējādi gadi, kuros tiek lūgta palīdzība sabiedriskā labuma organizācijām visvairāk, var būt tieši tie gadi, kad saņemti vismazāk ziedojumi. Lai to risinātu, sabiedriskā labuma organizācijām būtu jāļauj daļu no ziedojumiem ieguldīt, lai gūtu pasīvus procentu ienākumus. Turklāt jāakcentē, ka finanšu līdzekļu ieguldīšana procentu ienākumu gūšanai nav uzskatāma par ziedojuma izlietošanu, ja ieguldītie finanšu līdzekļi ir atgūstami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1 </w:t>
            </w:r>
            <w:r w:rsidR="00000000" w:rsidRPr="00000000" w:rsidDel="00000000">
              <w:rPr>
                <w:b w:val="1"/>
                <w:rtl w:val="0"/>
              </w:rPr>
              <w:t xml:space="preserve">pants. Sabiedriskā labuma organizācijas dibinātāju, valdes vai vadības institūcijas locekļa kompetence un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Valdes vai vadības institūcijas loceklis pārzina un vada sabiedriskā labuma organizācijas lietas kā krietns un rūpīgs saimnieks.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Valdes vai vadības institūcijas loceklis pārvalda un ir atbildīgs par sabiedriskā labuma organizācijas mantu un rīkojas ar tās līdzekļiem atbilstoši likumiem, statūtiem, biedru sapulces vai citu institūciju lēmumiem, kā arī ievērojot šā likuma 11. un 12. pantā noteiktos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Dibinātāji, valdes vai vadības institūcijas locekļi ir solidāri atbildīgi par zaudējumiem, kas nodarīti sabiedriskā labuma organizācijai viņu vainas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dibinātājs, valdes vai vadības institūcijas loceklis izstājas no sabiedriskā labuma organizācijas, viņš atbild tikai par tām saistībām, kuras radušās pirms viņa izstāšanās un kuru izpildes termiņš vai nosacījums iestājies pēc viņa izstāšanās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sabiedriskā labuma organizācijas valdes vai vadības institūcijas locekli nevar būt persona, kura ir bijusi valdes vai vadības institūcijas loceklis sabiedriskā labuma organizācijā, kurai atņemts sabiedriskā labuma organizācijas statuss, izņemot gadījumus, kuros sabiedriskā labuma organizācijas statuss atņemts saskaņā ar šā likuma 14. panta 1.</w:t>
            </w:r>
            <w:r w:rsidR="00000000" w:rsidRPr="00000000" w:rsidDel="00000000">
              <w:rPr>
                <w:vertAlign w:val="superscript"/>
                <w:rtl w:val="0"/>
              </w:rPr>
              <w:t xml:space="preserve">1</w:t>
            </w:r>
            <w:r w:rsidR="00000000" w:rsidRPr="00000000" w:rsidDel="00000000">
              <w:rPr>
                <w:rtl w:val="0"/>
              </w:rPr>
              <w:t xml:space="preserve"> daļas 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panta piektajā daļā minētais aizliegums ilgst 12 mēnešus no lēmuma par sabiedriskā labuma organizācijas statusa atņemšanu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šā panta piektajā daļā minētais sabiedriskā labuma organizācijas valdes vai vadības institūcijas loceklis ir valdes vai vadības institūcijas loceklis arī citā sabiedriskā labuma organizācijā, tad šāda sabiedriskā labuma organizācija trīs mēnešu laikā nodrošina attiecīgā valdes vai vadības institūcijas locekļa maiņu.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12.</w:t>
            </w:r>
            <w:r w:rsidR="00000000" w:rsidRPr="00000000" w:rsidDel="00000000">
              <w:rPr>
                <w:b w:val="1"/>
                <w:vertAlign w:val="superscript"/>
                <w:rtl w:val="0"/>
              </w:rPr>
              <w:t xml:space="preserve">1</w:t>
            </w:r>
            <w:r w:rsidR="00000000" w:rsidRPr="00000000" w:rsidDel="00000000">
              <w:rPr>
                <w:b w:val="1"/>
                <w:rtl w:val="0"/>
              </w:rPr>
              <w:t xml:space="preserve"> panta trešajā daļā un ceturtajā daļā noteikto, ka sabiedriskā labuma organizācijas dibinātāji ir solidāri atbildīgi par zaudējumiem, kas nodarīti sabiedriskā labuma organizācijai.</w:t>
            </w:r>
            <w:r w:rsidR="00000000" w:rsidRPr="00000000" w:rsidDel="00000000">
              <w:rPr>
                <w:rtl w:val="0"/>
              </w:rPr>
              <w:t xml:space="preserve"> Vēršam uzmanību, ka sabiedriskā labuma organizācija var būt nodibinājums, kura dibinātājiem vienīgā saikne ar nodibinājumu ir dalība tā dibināšanā. Tie var nebūt saistīti ne ar nodibinājuma pārvaldību, ne ikdienas darbu. Attiecīgi nav pareizi noteikt, ka par valdes nodarītiem zaudējumiem varēs vēsties pret nodibinātāja dibinātāju, kam ar nodarītajiem zaudējumiem nav nekāda sakara. Turklāt fonda dibinātājam saskaņā ar Biedrību un nodibinājumu likumu nav iespēju vai tiesību izstāties no nodibinājuma dibinātāju loka. Likums šādas tiesības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1.</w:t>
            </w:r>
            <w:r w:rsidR="00000000" w:rsidRPr="00000000" w:rsidDel="00000000">
              <w:rPr>
                <w:vertAlign w:val="superscript"/>
                <w:rtl w:val="0"/>
              </w:rPr>
              <w:t xml:space="preserve">1</w:t>
            </w:r>
            <w:r w:rsidR="00000000" w:rsidRPr="00000000" w:rsidDel="00000000">
              <w:rPr>
                <w:rtl w:val="0"/>
              </w:rPr>
              <w:t xml:space="preserve"> daļas 4. punktā būtu jāparedz tiesības atņemt sabiedriskā labuma organizācijas statusu, ja noteiktā termiņā netiek nomainīts valdes loceklis.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Valsts ieņēmumu dienests lēmumu par sabiedriskā labuma organizācijas statusa atņemšanu pieņem bez izskatīšanas komisijas sēdē,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dienests, prokurors, cita iestāde vai tiesa ir konstatējusi normatīvo aktu pārkāpumus sabiedriskā labuma organizācijas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 labuma organizācija neveic nodokļu maksājumus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sabiedriskā labuma organizācijas valdes vai vadības institūcijas loceklim ir stājies spēkā normatīvajos aktos noteiktais tiesību atņemšanas vai tiesību izmantošanas aizliegums, vai ir stājies spēkā notiesājošs spriedums sabiedriskā labuma vai nodokļu jomā, vai ir sastādīts prokurora priekšraksts par sodu sabiedriskā labuma vai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sabiedriskā labuma organizācija nenodrošina šā likuma 12.1 panta septītās daļas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sabiedriskā labuma organizācija pēc Valsts ieņēmumu dienesta rakstveida pieprasījuma 30 dienu laikā nav iesniegusi pieprasīto informāciju un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sabiedriskā labuma organizācija nav iesniegusi gada pārskatu;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iestāde ir konstatējusi riskus valsts drošības interesēm, ko rada sabiedriskā labuma organizācijas darbība un darbības mērķi, un par tiem sniegusi informāciju Valsts ieņēmumu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sabiedriskā labuma organizācija ir iesniegusi Valsts ieņēmumu dienestam iesniegumu par atteikšanos no sabiedriskā labuma organizācijas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14. panta 1.</w:t>
            </w:r>
            <w:r w:rsidR="00000000" w:rsidRPr="00000000" w:rsidDel="00000000">
              <w:rPr>
                <w:vertAlign w:val="superscript"/>
                <w:rtl w:val="0"/>
              </w:rPr>
              <w:t xml:space="preserve">1</w:t>
            </w:r>
            <w:r w:rsidR="00000000" w:rsidRPr="00000000" w:rsidDel="00000000">
              <w:rPr>
                <w:rtl w:val="0"/>
              </w:rPr>
              <w:t xml:space="preserve"> daļas 1. punktā būtu jāparedz tiesības atņemt sabiedriskā labuma organizācijas statusu tikai </w:t>
            </w:r>
            <w:r w:rsidR="00000000" w:rsidRPr="00000000" w:rsidDel="00000000">
              <w:rPr>
                <w:b w:val="1"/>
                <w:rtl w:val="0"/>
              </w:rPr>
              <w:t xml:space="preserve">par būtiskiem</w:t>
            </w:r>
            <w:r w:rsidR="00000000" w:rsidRPr="00000000" w:rsidDel="00000000">
              <w:rPr>
                <w:rtl w:val="0"/>
              </w:rPr>
              <w:t xml:space="preserve"> normatīvo aktu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24.10.2023. 08.30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22-TA-3618</w:t>
    </w:r>
    <w:r>
      <w:br/>
    </w:r>
    <w:r w:rsidR="00000000" w:rsidRPr="00000000" w:rsidDel="00000000">
      <w:rPr>
        <w:rtl w:val="0"/>
      </w:rPr>
      <w:t xml:space="preserve">Izdrukāts 24.10.2023. 08.30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Atzinumi_22-TA-3618.docx</dc:title>
</cp:coreProperties>
</file>

<file path=docProps/custom.xml><?xml version="1.0" encoding="utf-8"?>
<Properties xmlns="http://schemas.openxmlformats.org/officeDocument/2006/custom-properties" xmlns:vt="http://schemas.openxmlformats.org/officeDocument/2006/docPropsVTypes"/>
</file>