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w:t>
            </w:r>
            <w:r w:rsidR="00000000" w:rsidRPr="00000000" w:rsidDel="00000000">
              <w:rPr>
                <w:b w:val="1"/>
                <w:rtl w:val="0"/>
              </w:rPr>
              <w:t xml:space="preserve">papildināt anotāciju ar informāciju par ziņojuma</w:t>
            </w:r>
            <w:r w:rsidR="00000000" w:rsidRPr="00000000" w:rsidDel="00000000">
              <w:rPr>
                <w:rtl w:val="0"/>
              </w:rPr>
              <w:t xml:space="preserve"> "Informatīvais ziņojums par progresu agrīnās preventīvās atbalsta sistēmas bērnu attīstībai izveidē un saistīto Eiropas Savienības fondu projektu ieviešanā (projekts)" un saistītā 4.2.1.1. pasākuma "Infrastruktūras izveide starpnozaru sadarbības un atbalsta sistēmas izveidei bērnu attīstībai" </w:t>
            </w:r>
            <w:r w:rsidR="00000000" w:rsidRPr="00000000" w:rsidDel="00000000">
              <w:rPr>
                <w:b w:val="1"/>
                <w:rtl w:val="0"/>
              </w:rPr>
              <w:t xml:space="preserve">izstrādes statusu vai svītrot minēto ziņojumu no 4.3.6.7. pasākuma noteikumu grozījumu izstrādes pamatojuma, ņemot vērā, ka ziņojums nav pieejams Tiesību aktu projektu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12. decembra sēdes protokollēmuma nr. 61. § 59. 8.punkts nosaka, ka Valsts kancelejai līdz 2024. gada 2. septembrim bija jāsagatavo un jāiesniedz izskatīšanai Ministru kabinetā informatīvai ziņojums par 4.3.6.7. pasākuma "Starpnozaru sadarbības un atbalsta sistēmas izveide bērnu veselīgai attīstībai un sekmīgai pašrealizācijai" ieviešanu, kurā </w:t>
            </w:r>
            <w:r w:rsidR="00000000" w:rsidRPr="00000000" w:rsidDel="00000000">
              <w:rPr>
                <w:b w:val="1"/>
                <w:rtl w:val="0"/>
              </w:rPr>
              <w:t xml:space="preserve">ietverti iespējamie risinājumi pakalpojumu nodošanai nozaru ministrijām pēc to saturiskās piederības un starpinstitucionālai sadarbībai, kā arī priekšlikumi par nepieciešamajiem grozījumiem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otrās kārtas ietvaros tiešās attiecināmās personāla izmaksas, kuras ir šo noteikumu </w:t>
            </w:r>
            <w:r w:rsidR="00000000" w:rsidRPr="00000000" w:rsidDel="00000000">
              <w:rPr>
                <w:rtl w:val="0"/>
              </w:rPr>
              <w:t xml:space="preserve">18.18. </w:t>
            </w:r>
            <w:r w:rsidR="00000000" w:rsidRPr="00000000" w:rsidDel="00000000">
              <w:rPr>
                <w:rtl w:val="0"/>
              </w:rPr>
              <w:t xml:space="preserve">apakšpunktā</w:t>
            </w:r>
            <w:r w:rsidR="00000000" w:rsidRPr="00000000" w:rsidDel="00000000">
              <w:rPr>
                <w:rtl w:val="0"/>
              </w:rPr>
              <w:t xml:space="preserve"> minētās atbalstāmās darbības attiecināmās izmaksas, plāno kā faktiskās izmaksas. Ja otrās kārtas ietvaros finansējuma saņēmēja un sadarbības partnera projekta vadības un īstenošanas personāla iesaiste projektā tiek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anotāciju, kurā šis 30% noslodzes nosacījums otrās kārtas finansējuma saņēmēja un sadarbības partnera projekta vadības un īstenošanas personālam ticis dzēsts. Vienlaikus vēršam uzmanību, ka atbilstoši vadlīnijām Nr.1.2. “Vadlīnijas attiecināmo izmaksu noteikšanai Eiropas Savienības kohēzijas politikas programmas 2021.-2027.gada plānošanas periodā” iestādes vadības un atbalsta struktūrvienību personāla izmaksas, kas iesaistās projekta realizēšanā fragmentāri ar nelielu noslodzi un nav tieši saistīti ar rādītāju/rezultātu/mērķu sasniegšanu, ir attiecināmas no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Sekača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07.10.2025.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07.10.2025.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