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aktuālo situāciju atskurbtuvju izveidē”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kā par veselības nozari atbildīgajai ministrijai, izstrādāt vadlīnijas atskurbināšanas pakalpojuma nodrošināšanai un sniegt izvērtējumu, vai atskurbināšanas pakalpojumam tiktāl, cik tas attiecas uz medicīnas personāla klātbūtni, jābūt maksas 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sēdes protokollēmuma projekta 3. punktu ar termiņu, kādā Veselības ministrijai, kā par veselības nozari atbildīgajai ministrijai, nepieciešams izstrādāt vadlīnijas atskurbināšanas pakalpojuma nodrošināšanai un sniegt izvērtējumu, vai atskurbināšanas pakalpojumam tiktāl, cik tas attiecas uz medicīnas personāla klātbūtni, jābūt maksas pakalpojumam.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28.12.2022.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28.12.2022.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Atzinumi_22-TA-3250.docx</dc:title>
</cp:coreProperties>
</file>

<file path=docProps/custom.xml><?xml version="1.0" encoding="utf-8"?>
<Properties xmlns="http://schemas.openxmlformats.org/officeDocument/2006/custom-properties" xmlns:vt="http://schemas.openxmlformats.org/officeDocument/2006/docPropsVTypes"/>
</file>