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ārstniecības iestāžu skaits, kurās tiks pilnveidota pacientu drošība un aprūpes kvalitāte kvalitatīvai veselības aprūpes pakalpojuma nodrošināšanai – 41 ārstniecības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 punktā norādītais rādītājs nav Eiropas Savienības Kohēzijas politikas programmā 2021. – 2027. gadam iekļautais rādītājs, lūdzam precizēt šo punktu norādot, ka tas ir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 rādītāju neziņo Eiropas Komisijai, taču tas nepieciešams, lai nodrošinātu labu finanšu pārvaldību un gūtu nepieciešamās audita liecības un pamatojumu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"finansējuma saņēmējam nav noteikts pienākums veikt izmaksu un ieguvumu analīzi projektam, ievērojot to raksturu, ka finansējuma saņēmējs no tā īstenošanas negūst peļnu, taču finansējuma saņēmējs veic deleģēto valsts pārvaldes funkcijas. Projekta ieguvumi nav izsakāmi monetārā izteiksmē, jo projekta ieguvumiem nav nosakāma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mērķis ir pilnveidot pacientu drošību un aprūpes kvalitāti kvalitatīvai veselības aprūpes pakalpojuma nodrošināšanai, tad sociālekonomiskie ieguvumi būtu aprēķināmi, prognozējot, piemēram, par cik samazināsies ārstniecībā nevēlamo notikumu skaits, vienlaikus nosakot nevēlamo notikumu smaguma pakāpi kā arī valsts izmaksas katrai smaguma pakāpei, kas rodas, novēršot vai kompensējot nevēlamā notikuma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projektu ar punktu, ka paredz veikt izmaksu un ieguvumu analīzi atbilstoši sadarbības iestādes metodiskajiem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vai 4.1.2.7. pasākuma "Pilnveidot pacientu drošību un aprūpes kvalitāti" ietvaros nav jāpiemēro komercdarbības atbalsta kontroles regulējuma nosacījumi, lūdzam anotāciju papildināt ar pasākuma izvērtējumu Komercdarbības atbalsta kontroles likuma 5.panta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izmaksas ir attiecināmas, ja tās atbilst šajos noteikumos minētajām izmaksu pozīcijām un ir radušās ne agrāk par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sadaļā “Tiesību akta projekta ietekme uz valsts budžetu un pašvaldību budžetiem” (turpmāk – 3. sadaļa) pie 6.rādītāja tiek norādīts, ka 2023. gadā plānots apgūt 15 225 euro, kādiem iepirkumiem vai tamlīdzīgi, lūdzam pārskatīt izmaksu attiecināmības termiņu, iespējams to nosakot no vienošanās, par projekta īstenošanu, noslēgšanas brīža. Papildus anotācijā norādot kā tiks nodrošināts, ka vienas un tās pašas izmaksas netiek attiecinātas gan uz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gan uz 4.1.2.7. pasākuma “Pilnveidot pacientu drošību un aprūpes kvalitāti”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netiek plānots mainīt izmaksu attiecināmības termiņu, tad lūdzam papildināt anotāciju ar aprakstu, kāpēc tiek noteikts izmaksu attiecināmības termiņš 2024. gada 1. janvāris, un attiecīgi precizēt anotācijas 3. sadaļu, norādot, ka 2023.gadā nav plānotas izmaksas 4.1.2.7. pasākuma ievaros.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IV nodaļas nosaukumu, ņemot vērā, ka tajā nav noteiktas prasības finansējuma saņēmējam, vienlaikus atbilstoši precizējot arī noteikumu projekta 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pamatprasības attiecībā uz finansējuma saņēmēju noteiktas noteikumu projekta VI nodaļā “Pasākuma īstenošanas nosacījumi" izrietoši no noteikumu projekta 1.1. apakšpunktā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tai skaitā ar parakstu apliecina interešu konflikta neesību atbilstoši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14. punktā vārdus "tai skaitā ar parakstu apliecina" ar vārdiem "projektam iesniegumam pievienojot projekta iesniedzēja parakstītu apliecinājumu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14. punktā aizstāt vārdus un skaitļus "Eiropas Parlamenta un Padomes 2018. gada 18. jūlija regulas Nr. 2018/1046" ar vārdiem un skaitļiem "Eiropas Parlamenta un Padomes 2018. gada 18. jūlija Regulas (ES, Euratom)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vadības un īstenošanas personāla atlīdzības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15.1.apakšpunktā dzēst vārdus "personāla atlīdzības", ņemot vērā, ka atlīdzība ir izmaksu veids nevis atbalstāmā darbība,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apmācību organizēšanas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17.2.apakšpunktu izteikt šādā redakcijā: "apmācību organizēšanas un īstenošanas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apmācību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informatīvo semināru un konferenču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minētie sabiedrības informēšanas pasākumi par veselības aprūpes pakalpojumu saņemšanas iespējām un aktualitātēm nozarē neatbilst  MK noteikumu projekta 17.4.apakspunktā minētajam informatīvo semināru formātam, tad lūdzam MK noteikumu projekta 17.4.apakšpunktu izteikt šādā redakcijā: "informatīvo semināru, konferenču un  sabiedrības informēšanas pasākumu organizēšanas un īstenošanas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informatīvo semināru, konferenču un  sabiedrības informēšanas pasākumu organizēšanas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15.6.</w:t>
            </w:r>
            <w:r w:rsidR="00000000" w:rsidRPr="00000000" w:rsidDel="00000000">
              <w:rPr>
                <w:rtl w:val="0"/>
              </w:rPr>
              <w:t xml:space="preserve"> apakšpunktā minētā atbalstāmā darbība ietver komunikācijas un vizuālās identitātes prasību nodrošināšanas izmaksas atbilstoši regulas 2021/1060 47. pantam un 50. pantam un normatīvajiem aktiem, kas nosaka kārtību, kādā ES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18. punktā minētajos normatīvajos aktos un vadlīnijās nav noteiktas komunikācijas un vizuālās identitātes prasību nodrošināšanas izmaksas, bet šo prasību saturs, un noteikumu projekta 23.3. apakšpunktā jau ir noteikts finansējuma saņēmēja pienākums nodrošināt attiecīgās prasības atbilstoši minētajiem dokumentiem, lūdzam izvērtēt noteikumu projekta 18. punkta redakciju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minētās izmaksas veido projekta pārējās tiešās attiecināmās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nosacījumu, ka izmaksas ir attiecināmas, ja tās radušās, ievērojot publisko iepirkumu jomu regulējošos normatīvos aktus (t.i., uz pakalpojumu/uzņēmumu līgumu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"ja vien tie nav atgūstami saskaņā ar nacionālajiem tiesību aktiem pievienotās vērtības nodokļa jomā", vienlaikus anotācijā sniedzot informāciju, ka tiks nodrošināts dubultā finansējuma novēršanas risks (ja tiks izmantots vienkāršots PVN līdzekļu attiecināšanas princips projektiem, kuru kopējās izmaksas ir mazākas par 5 milj. EUR (ieskaitot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23.punktu,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prasību par sociāli atbildīga iepirkuma nosacījumu piemērošanas izvērtēšanu, ņemot vērā, ka MK noteikumu projekta 23.1.apakšpunkts nosaka, ka finansējuma saņēmējam ir jānodrošina sociāli atbildīgu iepirkumu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punkta “Pašreizējā situācija” 10.lpp. 4.rindkopu, ņemot vērā Valsts sekretāru sanāksmes 30.03.2023. protokola Nr.12 4.§ 3.punktā norādīto, ka,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atrunāts: "Pasākuma projekta vadības un īstenošanas, personāla atlīdzības nodrošināšana izmaksas, kurām ir piemērota vienotā likme, ietver šādas izmaksas: finansējuma saņēmēja atlīdzības izmaksas par [...] līgumu izpildes un nodevumu vērtēšanu." Lūdzam skaidrot un nepieciešamības gadījumā papildināt anotāciju, vai šeit atrunāto līgumu izpildes un nodevumu vērtēšanas izmaksu ietvaros ir plānots attiecināt nozares speciālistu-konsultantu līgumu izmaksas neatkarīgi no līguma veida - darba līgums, uzņēmuma līgums vai pakalpojuma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minēts, ka "Starp pasākumu un 9.2.3. SAM nepastāv dubultā finansējuma risks, jo izdevumu attiecināmības kontroli un pārbaudi veic sadarbības iestāde [...]". Vēršam uzmanību, ka riska uzraudzība risku nedzēš, tas turpina pastāvēt, kā arī sadarbības iestāde pārbaudes veic izlases veidā, līdz ar to par dubultā finansējuma riska uzraudzību pilnībā ir atbildīgs finansējuma saņēmējs. Lūdzam atbilstoši precizēt dubultā finansējuma riska uzraudzības aprakstu, kā arī detalizētāk aprakstīt, kā tiks uzraudzīts dubultā finansējuma risks (t.sk. ar SAM 4.1.2.6. ietvaros plānotajām apmācībām un SAM 4.1.2.1. plānotajiem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jau iepriekš ir minēta informācija par 20 % likmes piemērošanu, aicinām svītrot šo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pasākuma jaunās plānotās slodzes un to atalgojumu, pasākuma tiešajām personāla izmaksām tiek piemērota vienotā likme 20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redakciju "Administratīvā sloga mazināšanai atbalstāmās darbības “projekta vadības un īstenošanas personāla atlīdzības nodrošināšana” ietvaros projekta vadības un īstenošanas personāla atlīdzības izmaksu nodrošināšanai tiek piemērota personāla atlīdzības izmaksu likme 20 procentu apmērā no projekta pārējām tiešajām attiecināmajām izmaksām, kas nav projekta tiešās attiecināmās vadības personāla atlīdzības izmaksas, saskaņā ar regulas Nr. 2021/1060 55. panta 1. punktu." izteikt šādā redakcijā: "Administratīvā sloga mazināšanai projekta vadības un īstenošanas personāla izmaksu nodrošināšanai tiek piemērota personāla izmaksu likme divdesmit procentu apmērā no Noteikumu 19.2 apakšpunktā minētajām pārējām tiešajām attiecināmajām izmaksām saskaņā ar regulas Nr. 2021/1060 55.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sadaļu "Projekta izstrādē iesaistītās institūcijas un sabiedrības līdzdalības process" ar informāciju, par attiecīgās veselības jomas pārstāvošu biedrību, nodibinājumu, nevalstisko organizāciju iesaisti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Prezidenta 2021. gada 7. septembra rezolūcija Nr. 2021-1.1.1./50-50 “Izstrādājot specifisko atbalsta mērķu un to pasākumu ieviešanas nosacījumus Eiropas Savienības fondu 2021.—2027. 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Veselības ministriju, savukārt atbilstošajā apakšsadaļā "Ietekmes apraksts" norādot, ka Veselības ministrija pildīs atbildīgās iestādes un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projekta iesniegumā paredzēts vērtēt, vai projekta budžetā norādītas izmaksu pozīcijas, kuras veicina HP VINPI, lūdzu izvērtēt, vai nav nepieciešams attiecīgi papildināt noteikumu projekta 17.punktu, paredzot attiecināmo izmaksu pozīciju HP VINPI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02.10.2023. 23.37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02.10.2023. 23.37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Atzinumi_23-TA-2242.docx</dc:title>
</cp:coreProperties>
</file>

<file path=docProps/custom.xml><?xml version="1.0" encoding="utf-8"?>
<Properties xmlns="http://schemas.openxmlformats.org/officeDocument/2006/custom-properties" xmlns:vt="http://schemas.openxmlformats.org/officeDocument/2006/docPropsVTypes"/>
</file>