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iekļaujošās izglītības attīstību visās izglītības pakāpēs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2.pielikums_KOPĒJAIS NEPIECIEŠAMAIS FINANSĒJUMS TURPMĀKĀS RĪCĪBAS PLĀNA (PLĀNOTĀS DARBĪBAS)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14., 15.pasākumu kontekstā ir vienošanās, ka to vajadzību izvērtēs Izglītības un zinātnes ministrija sadarbībā ar sociālajiem partneriem līdz 2025.gada 31.jūlijam. Attiecīgi, ņemot vērā, ka lēmums vēl par šiem mācību līdzekļiem nav pieņemts, lūdzam neiekļaut konkrētos pasākumus pirms to apstiprināšanas (25-TA-569, MK protokollēmuma projekta 4.2.punkts).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Atzinumi_25-TA-539.docx</dc:title>
</cp:coreProperties>
</file>

<file path=docProps/custom.xml><?xml version="1.0" encoding="utf-8"?>
<Properties xmlns="http://schemas.openxmlformats.org/officeDocument/2006/custom-properties" xmlns:vt="http://schemas.openxmlformats.org/officeDocument/2006/docPropsVTypes"/>
</file>