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minētajās teritorijās bez pašvaldības atļaujas koku ciršanai ārpus meža atļauts cirst: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izskatot Zemkopības ministrijas piedāvāto regulējumu tiesiskajam regulējumam koku ciršanai ārpus meža, secināja, ka regulējuma saskaņošanas rezultātā, ir būtiski palielināta pašvaldības rīcības brīvība. Atgādinām, ka uzdevums veikt pilnveidojumus normatīvajā regulējumā izriet no rīcības plāna administratīvā sloga mazināšanai nekustamo īpašumu attīstīšanas jomā, saskaņā ar kuru, nesakārtots un sadrumstalots process atļaujas saņemšanai koku ciršanai, atstāj būtiski negatīvu ietekmi nekustamā īpašuma jēgpilnai un optimālai attīstīšanai. Piemēram, nesenajā gadījumā Rīgas pašvaldībai atsakot vienas blīgznas ciršanu zemes vienībā, nekustamā īpašuma attīstītājs ir spiests atteikties no vairāk kā 4000 m2 liela apbūves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izprot pašvaldības argumentus un pieeju koku ciršanas jautājumā, kas ir saistīta ar primāro mērķi nodrošināt pilsētas apzaļumošanu un labvēlīgu vidi pilsētas iedzīvotājiem. Līdz ar to, ministrija neiebilst Zemkopības ministrijas piedāvātajam konceptuālajam risinājumam. Vienlaicīgi, Ekonomikas ministrijas prāt, regulējumā trūkst motivējošais mehānisms jaunu koku stādīšanai, kā tas bija diskutēts darba grupā administratīvā sloga mazināšanai nekustamo īpašumu attīstīšanas jomā. Proti, paredzot smagnēju procedūru un strikti ierobežotu iespēju esošo koku ciršanai, nekustamā īpašuma attīstītāji vairās no jaunu koku stādīšanas. Rezultāts ir pretējais iecerētajam, pilsētās nenotiek jaunu koku stādīšana, savukārt, veciem  kokiem nokalstot, tie tiek zaudēti.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piedāvā risinājumu, kas, lai gan nenodrošina stingru aizsardzību esošiem kokiem, tomēr veicina daudz plašāku jaunu koku stādīšanu, turklāt nodrošinot, ka tiek iestādīti atbilstošā vecuma koki, uzreiz sekmējot pilsētas apzaļumošanas mērķu sasniegšanu. Piedāvājums attiecas tikai uz vienīgi uz būvniecības procesiem.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papildināt 5.punktu ar jaunu 5.11.apakšpunktu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būvniecības ieceres īstenošanas ietvaros, ja nocērtamo koku, izņemot aizsargājamo dabas pieminekli (koku), kompensē ar vismaz trīs jaunu koku, kas nav jaunāki par 10 gadiem, stādīšanu zemes vienībā, kuru skar būvniecības ieceres īstenošana. Nocērtamo koku un kompensējošos kokus iezīmē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būvniecības ieceres īstenošanas ietvaros, ja nocērtamo koku, izņemot aizsargājamo dabas pieminekli (koku), kompensē ar vismaz trīs jaunu koku, kas nav jaunāki par 10 gadiem, stādīšanu zemes vienībā, kuru skar būvniecības ieceres īstenošana. Nocērtamo koku un kompensējošos kokus iezīmē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minētajos gadījumos.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punkta redakciju. Šobrīd pēc sarunām ar būvvaldēm esam secinājuši, ka esošai un piedāvātās regulējuma izmaiņas šajos noteikumos nesaskan ar Ministru kabineta 19.08.2014.  noteikumu Nr.500 “Vispārīgie būvnoteikumi” 12.5 punktu. Saskaņā ar šo punktu projektēšanas nosacījumu izpildes laikā pēc tam, kad būvatļauja ir kļuvusi neapstrīdama, var uzsākt inženiertehniskos darbus, norādot būvniecības lietā informāciju par būvdarbu veicēju, ja šie plānotie darbi neskar trešo personu tiesības vai ir saņemts šo personu saskaņojums. Faktiski būvdarbi tiek uzsākti līdz projektēšanas nosacījumu izpildei un šī iemesla dēļ, lai varētu iekārtot būvlaukumu un veikt saistītos darbus, arī būtu nepieciešams uzsākt ar būvatļauju atļauto koku ciršanu. Secīgi, Ministru kabineta 02.05.2012. noteikumu Nr. 309 "Noteikumi par koku ciršanu ārpus meža" 7.punktā būtu nepieciešams izteikt pēdējos teikumu šādā redakcijā: “Koku ciršanu atļauts uzsākt, ja būvatļaujā ir izdarīta atzīme par būvniecības uzsākšanas nosacījumu izpildi vai uzsākot veikt inženiertehniskos darbus vispārīgajos būvnoteikumus noteiktajā kārtībā.”, vai arī pēdējo teikumu ir nepieciešams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vai paskaidrojuma rakstā ir norādīti izcērtamie koki vai izcērtamo koku daudzums, būvvaldes izsniegtā būvatļauja vai paskaidrojumu raksta akcepts uzskatāms arī par būvniecības dokumentācijā minēto koku ciršanas atļauju, izņemot šo noteikumu 9. punktā minētajos gadījumos. Koku ciršanu atļauts uzsākt, ja būvatļaujā ir izdarīta atzīme par būvniecības uzsākšanas nosacījumu izpildi </w:t>
            </w:r>
            <w:r w:rsidR="00000000" w:rsidRPr="00000000" w:rsidDel="00000000">
              <w:rPr>
                <w:b w:val="1"/>
                <w:rtl w:val="0"/>
              </w:rPr>
              <w:t xml:space="preserve">vai uzsākot veikt inženiertehniskos darbus vispārīgajos būvnoteikumus noteiktajā kārtībā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23.03.2026.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23.03.2026.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