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anotācijas 3.sadaļu, norādot katras likumprojektā iekļautās normas nodrošināšanai nepieciešamo finansējuma apmēru un tā detalizētus aprēķinus.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Indra Stūriška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šobrīd ir 2023.gads, savukārt likumprojekta 1.pants, kas paredz papildināt likumu ar 7.panta trešās daļas 4.¹ punktu, nosakot normas īstenošanas periodu no 2022.gada 1.septembra, nepieciešams anotācijā sniegt skaidrojumu par normas piemērošanu ar atpakaļejošu datumu.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Indra Stūriška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anotāciju, norādot katrai likumprojektā iekļautajai normai sasaisti ar Pasākumu plānā atbalsta sniegšanai Ukrainas civiliedzīvotājiem Latvijas Republikā 2023.gadam (apstiprināts ar MK 21.12.2022. rīkojumu Nr.966) iekļauto pasākumu (nosaukumu un Nr.).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Indra Stūriška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izteikt trešās daļas 9.punktu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 likumprojektā lietotās terminoloģijas “ārkārtas aizbildnis” un “likumiskais pārstāvis” salāgošanu.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Indra Stūriška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06.01.2023. 13.26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06.01.2023. 13.26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