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pēc projekta pabeigšanas nodrošinātu projekta rezultātu uzturēšanu, atbalstīt vienas amata vietas izveidi Valsts digitālās attīstības aģentūrā no 2030. gada 1. janvāra. Viedās administrācijas un reģionālās attīstības ministrijai minētās amata vietas uzturēšanai nepieciešamo finansējumu – ne vairāk kā 72 354,98 </w:t>
            </w:r>
            <w:r w:rsidR="00000000" w:rsidRPr="00000000" w:rsidDel="00000000">
              <w:rPr>
                <w:i w:val="1"/>
                <w:rtl w:val="0"/>
              </w:rPr>
              <w:t xml:space="preserve">euro </w:t>
            </w:r>
            <w:r w:rsidR="00000000" w:rsidRPr="00000000" w:rsidDel="00000000">
              <w:rPr>
                <w:rtl w:val="0"/>
              </w:rPr>
              <w:t xml:space="preserve">apmērā 2030. gadā un turpmāk ik gadu – pieprasīt papildus likumprojekta par valsts budžetu kārtējam gadam un vidēja termiņa budžeta ietvara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jaunas amata vietas izveidei. Vēršam uzmanību, ka ieviešot digitalizācijas pakalpojumus, tiem ir jābūt vērstiem uz resursu optimizāciju nākotnē, t.sk. arī cilvēkresursu, kas nozīmē, ka iestādei ir jāpārvērtē savi procesi un  tādējādi jānodrošina amata vieta un tās uzturēšana tai jau piešķirto resursu ietvaros. Kā viens no risinājumiem ir amata vietu un tās atlīdzību rast vienojoties par to ar Veselības ministriju, kā projektā iesaistīto resoru.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kopumā notiek gan budžeta izdevumu pilnīga izvērtēšana, kā arī virzība uz 0 budžeta ieviešanu, kā arī jāņem vērā, ka būtiski pieaugot izdevumiem valsts drošībai un aizsardzībai 2030.gadā ir paredzams ļoti problemātisks budžeta izdevumu un ieņēmumu sabalansēšanas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jebkurai iestādei un resoram ir iespējas pārskatīt savas veicamās funkcijas un veicot optimizācijas pasākumus sniegt priekšlikumus par uzlikto funkciju un uzdevumu izpildei piešķirto resursu sabalansētību, atsakoties no kādas funkcijas vai uzdevuma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Anotācijas 3.sadaļas 7.punktā pievienotais aprēķins par atlīdzību var tikt uzskatīts tikai un vienīgi kā indikatīvs, ņemot vērā, ka šobrīd izmantotā prognozētā mēnešalga 2028.gadā var mainīties, īpaši situācijā ja tiek pieņemts lēmums par bāzes mēnešalgu iesaldēšanu. nevaram piekrist kopējam aprēķinam attiecībā uz piemaksām un soc. garantijām, jo šobrīd norādītais piemaksu apmērs ir 20%, kas ir vairāk nekā norādīts Valsts kancelejas vadlīnijās, kā arī sociālo garantiju kopējais apjoms (atvaļinājuma pabalsts un veselības apdrošināšana) pārsniedz vadlīnijās ietverto apmēru- 5%.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neparedz informācijas sniegšanas prasības, administratīvā sloga aprēķins  anotācijas 2.4. sadaļā nav jāveic. Sniegtais apraksts attiecināms uz projekta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11.09.2026.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11.09.2026.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Atzinumi_26-TA-566.docx</dc:title>
</cp:coreProperties>
</file>

<file path=docProps/custom.xml><?xml version="1.0" encoding="utf-8"?>
<Properties xmlns="http://schemas.openxmlformats.org/officeDocument/2006/custom-properties" xmlns:vt="http://schemas.openxmlformats.org/officeDocument/2006/docPropsVTypes"/>
</file>