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2022.gada 13.decembra iebildumā izteiktos argumentus, kā arī to, ka informatīvā ziņojuma pielikumā esošajā kompetenču sadalījuma tabulā par praktiski visām kompetenču jomām noteiktas vairākas atbildīgās ministrijas, lūdzam papildināt informatīvā ziņojuma tabulas 1.6.aili, nosakot arī Ekonomikas ministriju un Finanšu ministriju kā atbildīgās ministrijas. Papildus lūdzam izvērtēt Latvijas Darba devēju konfederācijas 2023.gada 19.janvāra 1.iebildumā pausto, ka informatīvā ziņojuma 1.pielikuma esošajā redakcijā ietvertais kompetenču sadalījums (pa lapusēm un ministrijām) nav atbilstošs konkrētajai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24.02.2023.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24.02.2023.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