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 un nepārprotamai  4.1.2.2. pasākuma “Veselības veicināšanas un slimību profilakses pasākumu īstenošana vietējai sabiedrībai” īstenošanas noteikumu izpratnei aicinām sniegt skaidrojumu, vai katram projektam, ņemot vērā tam pieejamo finansējumu, tiks noteikti minimālie sasniedzamie rādītāji (pasākumos iesaistīto iedzīvotāju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Pasākuma ietvarā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“4.1.2.2. pasākuma pārējās tiešās attiecināmās izmaksas, no kurām rēķina personāla atlīdzības izmaksu vienoto likmi, ir izmaksas, kas radušās, ievērojot publisko iepirkumu jomu regulējošos normatīvos aktus: visas ar veselības veicināšanas un slimību profilakses pasākumu īstenošanu mērķa grupām un vietējai sabiedrībai saistītās izmaksas, t.sk. pasākumu organizēšana, vadīšana, ēdināšana, apskaņošana, telpu īre, materiālu iegāde, transporta nodrošināšana, speciālā personāla piesaiste, informācijas izplatīšana par pasākumu un inventāra iegādes un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 vai Noteikumu projekta  22.2. apakšpunktā minētās atbalstāmās darbības ietvaros ir attiecināmas transporta izmaksas mērķa grupas nogādāšanai uz un no pasākuma norises vietu, piemēram, izglītojamo nogādāšana uz un no peldbaseinu peldētapmācības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komunikācijas un vizuālās identitātes prasību nodrošināšanas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Noteikuma projekta esošās redakcijas nav nosakāms, ka projekta obligātās publicitātes pasākumu izmaksas nav sedzamas no projekta tiešajām attiecināmajām izmaksām, bet no netiešajām (7%), kā tas ir noteikts Noteikuma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Noteikuma projektu atbilstoši tās anotācijā fiksētajam un vienlaikus norādīt piemērus, kādi pasākumi ietilpst atbalstāmajā darbībā “Komunikācijas un vizuālās identitātes prasību nodrošināšanas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22.1.</w:t>
            </w:r>
            <w:r w:rsidR="00000000" w:rsidRPr="00000000" w:rsidDel="00000000">
              <w:rPr>
                <w:rtl w:val="0"/>
              </w:rPr>
              <w:t xml:space="preserve"> apakšpunktā minētās atbalstāmās darbības ietvaros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w:t>
            </w:r>
            <w:r w:rsidR="00000000" w:rsidRPr="00000000" w:rsidDel="00000000">
              <w:rPr>
                <w:rtl w:val="0"/>
              </w:rPr>
              <w:t xml:space="preserve">25.</w:t>
            </w:r>
            <w:r w:rsidR="00000000" w:rsidRPr="00000000" w:rsidDel="00000000">
              <w:rPr>
                <w:rtl w:val="0"/>
              </w:rPr>
              <w:t xml:space="preserve">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iespējas par tiešajām attiecināmajām izmaksām, aicinām precizēt Noteikuma projekta 24.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22.1. apakšpunktā minētās atbalstāmās darbības ietvaros tiešās attiecināmās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un / vai Sadarbības partneris var pretendēt uz attiecināmajām izmaksām katra projekta iesniedzēja līmenī, kas aprēķinātas un norādītas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ievērojot, ka minimālā viena projekta summa nav mazāka par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Valkas novada pašvaldība, Smiltenes novada pašvaldība norāda, ka Pašvaldība ir izskatījusi tiesību akta projektu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uzskata, ka projekta ieviešana, slēdzot sadarbības līgumus ar citām pašvaldībām, radīs papildu administratīvo slogu ikvienam no projektā iesaistītajiem partneriem. Pienākumu sadalījums starp vairākiem sadarbības partneriem var izraisīt sarežģījumus projekta ieviešanas gaitā un uzraudzībā, kā arī, ieviešot projektu partnerībā, pastāv daudz augstāks risks kavēt projekta progresu. Pašvaldībām apvienojoties, viena projekta ietvaros būs jāorganizē kopīgi iepirkumi, kas arī radīs gan papildu administratīvo slogu, gan palielinās riskus kvalitatīvu iepirkumu veikšanas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nesaskata iespējas papildus šo noteikumu pielikumā minētajam Eiropas Sociālā fonda Plus un nacionālajam valsts budžeta finansējumam, paredzēt pašvaldības līdzfinansējumu, lai sasniegtu 200 000 euro projekta izmaksu slieksni.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Pašvaldības ir gatavas ieviest projekta aktivitātes kā finansējuma saņēmējs projekta pasākumam plānotā apmērā , ievērojot iepriekš noteiktās aprēķinātās vienas vienības likmes un īstenojot projektu autonomi. Pašvaldības lūdz veikt precizējumus noteikumu projektā 23TA-1018, nenosakot minimālo viena projekta summu 200 000 EUR un summas nosakot MK pielikumā aprēķinātās.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iepriekšējā 2014.-2020.gada plānošanas perioda pieredzi, t.i., 17.05.2016. MK noteikumu Nr. 810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54.punktā tika noteikts, ka gadījumos, kad pašvaldības neatbilda noteiktajam projektu iesniedzēju lokam,  neiesniedza projektu iesniegumus vai arī tie tika noraidīti, projekta iesniegumu izstrādāja un īstenoja Slimību profilakses un kontroles centrs. Tā kā šajā MKN projektā nav paredzēti rīcības varianti šādos gadījumos, bet lai sekmētu maksimāli lielāku iedzīvotāju skaits, kas gūtu labumu no šī pasākuma un veidotu / veicinātu veselīga dzīvesveida paradumus, gadījumā, ja kāda no pašvaldībām tai piešķirto finansējumu nespēj apgūt pilnā apmērā, ierosinām izskatīt iespēju neapgūto finansējumu pārdalīt šī pasākuma ietvaros, proti, neapgūto finansējumu proporcionāli sadalīt starp citām pašvaldībām, vai veikt finansējuma pārdali pēc citiem (kvalitātes/kvantitātes) kritērijiem, piemēram, pašvaldībām, kuras iepriekšējā periodā pārsniedza noteiktos rādītājus, vai pašvaldībām, kurām iepriekšējā periodā tika samazināts finansējums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šo noteikumu </w:t>
            </w:r>
            <w:r w:rsidR="00000000" w:rsidRPr="00000000" w:rsidDel="00000000">
              <w:rPr>
                <w:rtl w:val="0"/>
              </w:rPr>
              <w:t xml:space="preserve">14.</w:t>
            </w:r>
            <w:r w:rsidR="00000000" w:rsidRPr="00000000" w:rsidDel="00000000">
              <w:rPr>
                <w:rtl w:val="0"/>
              </w:rPr>
              <w:t xml:space="preserve"> punktā minētais projekta iesniedzējs sadarbības partneru statusā var piesaistīt citu šo noteikumu </w:t>
            </w:r>
            <w:r w:rsidR="00000000" w:rsidRPr="00000000" w:rsidDel="00000000">
              <w:rPr>
                <w:rtl w:val="0"/>
              </w:rPr>
              <w:t xml:space="preserve">14.</w:t>
            </w:r>
            <w:r w:rsidR="00000000" w:rsidRPr="00000000" w:rsidDel="00000000">
              <w:rPr>
                <w:rtl w:val="0"/>
              </w:rPr>
              <w:t xml:space="preserve"> punktā minēto projekta iesniedzēju - pašvaldību, kura veic vietējās sabiedrības veselības veicināšanas un slimību profilakses pasākumus, un kura minēta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Projekta iesniedzējs sadarbības partneru statusā var piesaistīt vairākus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lai īstenotu projektus sadarbībā, nepieciešamas vadlīnijas šādu sadarbības projektu īstenošanai. Kā arī aicina organizēt saskaņošanas sanāksmi, lai pārrunātu iebildumus un priekšlikumus un vienotos par iespējamiem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18.04.2024.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18.04.2024.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