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norādot, ka </w:t>
            </w:r>
            <w:r w:rsidR="00000000" w:rsidRPr="00000000" w:rsidDel="00000000">
              <w:rPr>
                <w:b w:val="1"/>
                <w:rtl w:val="0"/>
              </w:rPr>
              <w:t xml:space="preserve">koplietošanas pakalpojumu uzturētāji </w:t>
            </w:r>
            <w:r w:rsidR="00000000" w:rsidRPr="00000000" w:rsidDel="00000000">
              <w:rPr>
                <w:rtl w:val="0"/>
              </w:rPr>
              <w:t xml:space="preserve">var būt arī pašvaldība (piem., datu centrs), ja pašvaldība tiek iesaistīta kā projekta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finansējuma saņēmējiem (tai skaitā iestādēm viena resora ietvaros) un sadarbības partneriem projekta mērķu un rādītāju sasniegšanai nepieciešamās informācijas un komunikācijas tehnoloģiju aparatūras un iekārtu (tai skaitā drošai piekļuvei valsts informācijas sistēmām un platformām un drošai digitālajai komunikācijai nepieciešamās informācijas un komunikācijas tehnoloģiju aparatūras un iekārtu) un specializētu tehnoloģisko risinājumu iegādes, konfigurācijas, pielāgošanas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norādot, ka </w:t>
            </w:r>
            <w:r w:rsidR="00000000" w:rsidRPr="00000000" w:rsidDel="00000000">
              <w:rPr>
                <w:b w:val="1"/>
                <w:rtl w:val="0"/>
              </w:rPr>
              <w:t xml:space="preserve">pašvaldībām kā sadarbības partneriem</w:t>
            </w:r>
            <w:r w:rsidR="00000000" w:rsidRPr="00000000" w:rsidDel="00000000">
              <w:rPr>
                <w:rtl w:val="0"/>
              </w:rPr>
              <w:t xml:space="preserve"> attiecināmas ne tikai aparatūras iegādes, bet arī izmaksas, kas saistītas ar programmatūras licencēm, konsultācijām un darbinieku apmācību. Ņemot vērā, ka kiberdrošības stiprināšanai  nepieciešams ne tikai atbilstošs aprīkojums, bet arī atbilstoša programmatūra un kvalificēti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